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A04C2B" w14:paraId="32C80D15" w14:textId="77777777" w:rsidTr="00773364">
        <w:tc>
          <w:tcPr>
            <w:tcW w:w="3181" w:type="dxa"/>
            <w:vMerge w:val="restart"/>
            <w:vAlign w:val="center"/>
          </w:tcPr>
          <w:p w14:paraId="62C7A05B" w14:textId="5FFC4EC0" w:rsidR="0007181A" w:rsidRPr="00A04C2B" w:rsidRDefault="00F34951" w:rsidP="002B3C3B">
            <w:r w:rsidRPr="00A04C2B">
              <w:rPr>
                <w:noProof/>
              </w:rPr>
              <w:drawing>
                <wp:inline distT="0" distB="0" distL="0" distR="0" wp14:anchorId="12D64447" wp14:editId="678B244B">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1F5FA19F" w14:textId="40F3F662" w:rsidR="0007181A" w:rsidRPr="00A04C2B" w:rsidRDefault="0007181A" w:rsidP="00B03FE3">
            <w:pPr>
              <w:pStyle w:val="Header"/>
            </w:pPr>
            <w:proofErr w:type="spellStart"/>
            <w:r w:rsidRPr="00A04C2B">
              <w:t>ToR</w:t>
            </w:r>
            <w:proofErr w:type="spellEnd"/>
            <w:r w:rsidRPr="00A04C2B">
              <w:t xml:space="preserve"> STF </w:t>
            </w:r>
            <w:r w:rsidR="00B03FE3">
              <w:t>CT</w:t>
            </w:r>
            <w:r w:rsidR="00635BBD" w:rsidRPr="00A04C2B">
              <w:t xml:space="preserve"> </w:t>
            </w:r>
            <w:r w:rsidRPr="00A04C2B">
              <w:t>(</w:t>
            </w:r>
            <w:r w:rsidR="00B03FE3">
              <w:t xml:space="preserve">TC </w:t>
            </w:r>
            <w:r w:rsidR="00173A6C">
              <w:t>HF</w:t>
            </w:r>
            <w:r w:rsidRPr="00A04C2B">
              <w:t>)</w:t>
            </w:r>
          </w:p>
        </w:tc>
      </w:tr>
      <w:tr w:rsidR="0007181A" w:rsidRPr="00A04C2B" w14:paraId="76D8F0B7" w14:textId="77777777" w:rsidTr="00773364">
        <w:tc>
          <w:tcPr>
            <w:tcW w:w="3181" w:type="dxa"/>
            <w:vMerge/>
            <w:vAlign w:val="center"/>
          </w:tcPr>
          <w:p w14:paraId="3FAA9A92" w14:textId="77777777" w:rsidR="0007181A" w:rsidRPr="00A04C2B" w:rsidRDefault="0007181A" w:rsidP="00094E3E">
            <w:pPr>
              <w:pStyle w:val="Header"/>
            </w:pPr>
          </w:p>
        </w:tc>
        <w:tc>
          <w:tcPr>
            <w:tcW w:w="6439" w:type="dxa"/>
            <w:vAlign w:val="center"/>
          </w:tcPr>
          <w:p w14:paraId="0EF8B8DF" w14:textId="518FDE8E" w:rsidR="0007181A" w:rsidRPr="00A04C2B" w:rsidRDefault="0007181A" w:rsidP="00173A6C">
            <w:pPr>
              <w:jc w:val="right"/>
            </w:pPr>
            <w:r w:rsidRPr="00A04C2B">
              <w:t xml:space="preserve">Version: </w:t>
            </w:r>
            <w:r w:rsidR="005F1768" w:rsidRPr="00A04C2B">
              <w:t>0.</w:t>
            </w:r>
            <w:r w:rsidR="00173A6C">
              <w:t>1</w:t>
            </w:r>
          </w:p>
        </w:tc>
      </w:tr>
      <w:tr w:rsidR="0007181A" w:rsidRPr="00486632" w14:paraId="30117460" w14:textId="77777777" w:rsidTr="00773364">
        <w:tc>
          <w:tcPr>
            <w:tcW w:w="3181" w:type="dxa"/>
            <w:vMerge/>
            <w:vAlign w:val="center"/>
          </w:tcPr>
          <w:p w14:paraId="7B979509" w14:textId="77777777" w:rsidR="0007181A" w:rsidRPr="00486632" w:rsidRDefault="0007181A" w:rsidP="00094E3E">
            <w:pPr>
              <w:pStyle w:val="Header"/>
            </w:pPr>
          </w:p>
        </w:tc>
        <w:tc>
          <w:tcPr>
            <w:tcW w:w="6439" w:type="dxa"/>
            <w:vAlign w:val="center"/>
          </w:tcPr>
          <w:p w14:paraId="013D8484" w14:textId="7FDEE346" w:rsidR="0007181A" w:rsidRPr="00DE23ED" w:rsidRDefault="0007181A" w:rsidP="00173A6C">
            <w:pPr>
              <w:jc w:val="right"/>
            </w:pPr>
            <w:r w:rsidRPr="00DE23ED">
              <w:t>Author:</w:t>
            </w:r>
            <w:r w:rsidR="00DD580B" w:rsidRPr="00DE23ED">
              <w:t xml:space="preserve"> </w:t>
            </w:r>
            <w:r w:rsidR="009A02DE">
              <w:t xml:space="preserve">TC </w:t>
            </w:r>
            <w:r w:rsidR="00173A6C">
              <w:t>HF</w:t>
            </w:r>
            <w:r w:rsidR="009A02DE">
              <w:t xml:space="preserve"> -</w:t>
            </w:r>
            <w:r w:rsidR="0034301C" w:rsidRPr="00DE23ED">
              <w:t xml:space="preserve"> EC/EFTA</w:t>
            </w:r>
            <w:r w:rsidR="00DD580B" w:rsidRPr="00DE23ED">
              <w:t xml:space="preserve"> </w:t>
            </w:r>
            <w:r w:rsidRPr="00DE23ED">
              <w:t>– Date:</w:t>
            </w:r>
            <w:r w:rsidR="00173A6C">
              <w:t>12</w:t>
            </w:r>
            <w:r w:rsidR="00DE23ED" w:rsidRPr="00DE23ED">
              <w:t xml:space="preserve"> </w:t>
            </w:r>
            <w:r w:rsidR="00173A6C">
              <w:t>June</w:t>
            </w:r>
            <w:r w:rsidR="00DE23ED" w:rsidRPr="00DE23ED">
              <w:t xml:space="preserve"> 2018</w:t>
            </w:r>
            <w:r w:rsidR="009B1C81" w:rsidRPr="00DE23ED">
              <w:t xml:space="preserve"> </w:t>
            </w:r>
          </w:p>
        </w:tc>
      </w:tr>
      <w:tr w:rsidR="0007181A" w:rsidRPr="00486632" w14:paraId="40A24248" w14:textId="77777777" w:rsidTr="00773364">
        <w:tc>
          <w:tcPr>
            <w:tcW w:w="3181" w:type="dxa"/>
            <w:vMerge/>
            <w:vAlign w:val="center"/>
          </w:tcPr>
          <w:p w14:paraId="28AA581A" w14:textId="77777777" w:rsidR="0007181A" w:rsidRPr="00486632" w:rsidRDefault="0007181A" w:rsidP="00094E3E">
            <w:pPr>
              <w:pStyle w:val="Header"/>
            </w:pPr>
          </w:p>
        </w:tc>
        <w:tc>
          <w:tcPr>
            <w:tcW w:w="6439" w:type="dxa"/>
            <w:vAlign w:val="center"/>
          </w:tcPr>
          <w:p w14:paraId="2A029887" w14:textId="6BE5B986" w:rsidR="0007181A" w:rsidRPr="00E30A65" w:rsidRDefault="0007181A" w:rsidP="00751018">
            <w:pPr>
              <w:jc w:val="right"/>
            </w:pPr>
            <w:r w:rsidRPr="00486632">
              <w:t>Last updated by:</w:t>
            </w:r>
            <w:r w:rsidR="00FD5785" w:rsidRPr="00486632">
              <w:t xml:space="preserve"> </w:t>
            </w:r>
            <w:r w:rsidR="00DE23ED">
              <w:t>Youssouf Sakho</w:t>
            </w:r>
            <w:r w:rsidR="006F582B" w:rsidRPr="00486632">
              <w:t xml:space="preserve"> – Date</w:t>
            </w:r>
            <w:r w:rsidR="00751018">
              <w:t>: 17 Sep</w:t>
            </w:r>
            <w:bookmarkStart w:id="0" w:name="_GoBack"/>
            <w:bookmarkEnd w:id="0"/>
            <w:r w:rsidR="00052A10">
              <w:t xml:space="preserve"> </w:t>
            </w:r>
            <w:r w:rsidR="00986CDB">
              <w:t>2018</w:t>
            </w:r>
            <w:r w:rsidR="006A3D4C" w:rsidRPr="00E30A65">
              <w:t xml:space="preserve">  </w:t>
            </w:r>
          </w:p>
        </w:tc>
      </w:tr>
      <w:tr w:rsidR="0007181A" w:rsidRPr="00A04C2B" w14:paraId="49026742" w14:textId="77777777" w:rsidTr="00773364">
        <w:tc>
          <w:tcPr>
            <w:tcW w:w="3181" w:type="dxa"/>
            <w:vMerge/>
            <w:vAlign w:val="center"/>
          </w:tcPr>
          <w:p w14:paraId="2BD58E13" w14:textId="77777777" w:rsidR="0007181A" w:rsidRPr="00486632" w:rsidRDefault="0007181A" w:rsidP="00094E3E">
            <w:pPr>
              <w:pStyle w:val="Header"/>
            </w:pPr>
          </w:p>
        </w:tc>
        <w:tc>
          <w:tcPr>
            <w:tcW w:w="6439" w:type="dxa"/>
            <w:vAlign w:val="center"/>
          </w:tcPr>
          <w:p w14:paraId="3AB83CD4" w14:textId="7C0F386B" w:rsidR="0007181A" w:rsidRPr="00A04C2B" w:rsidRDefault="0007181A" w:rsidP="009F2D55">
            <w:pPr>
              <w:jc w:val="right"/>
            </w:pPr>
            <w:r w:rsidRPr="00A04C2B">
              <w:t xml:space="preserve">page </w:t>
            </w:r>
            <w:r w:rsidRPr="00A04C2B">
              <w:fldChar w:fldCharType="begin"/>
            </w:r>
            <w:r w:rsidRPr="00A04C2B">
              <w:instrText xml:space="preserve"> PAGE   \* MERGEFORMAT </w:instrText>
            </w:r>
            <w:r w:rsidRPr="00A04C2B">
              <w:fldChar w:fldCharType="separate"/>
            </w:r>
            <w:r w:rsidR="006A5009">
              <w:rPr>
                <w:noProof/>
              </w:rPr>
              <w:t>1</w:t>
            </w:r>
            <w:r w:rsidRPr="00A04C2B">
              <w:fldChar w:fldCharType="end"/>
            </w:r>
            <w:r w:rsidRPr="00A04C2B">
              <w:t xml:space="preserve"> of </w:t>
            </w:r>
            <w:r w:rsidR="00556E26">
              <w:rPr>
                <w:noProof/>
              </w:rPr>
              <w:fldChar w:fldCharType="begin"/>
            </w:r>
            <w:r w:rsidR="00556E26">
              <w:rPr>
                <w:noProof/>
              </w:rPr>
              <w:instrText xml:space="preserve"> NUMPAGES   \* MERGEFORMAT </w:instrText>
            </w:r>
            <w:r w:rsidR="00556E26">
              <w:rPr>
                <w:noProof/>
              </w:rPr>
              <w:fldChar w:fldCharType="separate"/>
            </w:r>
            <w:r w:rsidR="006A5009">
              <w:rPr>
                <w:noProof/>
              </w:rPr>
              <w:t>21</w:t>
            </w:r>
            <w:r w:rsidR="00556E26">
              <w:rPr>
                <w:noProof/>
              </w:rPr>
              <w:fldChar w:fldCharType="end"/>
            </w:r>
          </w:p>
        </w:tc>
      </w:tr>
    </w:tbl>
    <w:p w14:paraId="44CF4712" w14:textId="77777777" w:rsidR="0007181A" w:rsidRPr="00A04C2B" w:rsidRDefault="0007181A" w:rsidP="00B95033"/>
    <w:p w14:paraId="5EE66038" w14:textId="77777777" w:rsidR="001C0CBC" w:rsidRPr="00A04C2B" w:rsidRDefault="0007181A" w:rsidP="00A5599B">
      <w:pPr>
        <w:pStyle w:val="ZT"/>
      </w:pPr>
      <w:r w:rsidRPr="00A04C2B">
        <w:t xml:space="preserve">Terms of Reference </w:t>
      </w:r>
      <w:r w:rsidR="00A5599B" w:rsidRPr="00A04C2B">
        <w:t xml:space="preserve">- </w:t>
      </w:r>
      <w:r w:rsidRPr="00A04C2B">
        <w:t>Specia</w:t>
      </w:r>
      <w:r w:rsidR="001C0CBC" w:rsidRPr="00A04C2B">
        <w:t>list Task Force</w:t>
      </w:r>
    </w:p>
    <w:p w14:paraId="470626A6" w14:textId="5FCAF2E4" w:rsidR="001C0CBC" w:rsidRDefault="0007181A" w:rsidP="00A5599B">
      <w:pPr>
        <w:pStyle w:val="ZT"/>
      </w:pPr>
      <w:r w:rsidRPr="00A04C2B">
        <w:t xml:space="preserve">STF </w:t>
      </w:r>
      <w:r w:rsidR="00B03FE3">
        <w:t>CT</w:t>
      </w:r>
      <w:r w:rsidR="00986CDB">
        <w:t xml:space="preserve"> (</w:t>
      </w:r>
      <w:r w:rsidR="00332212">
        <w:t xml:space="preserve">TC </w:t>
      </w:r>
      <w:r w:rsidR="00173A6C">
        <w:t>HF</w:t>
      </w:r>
      <w:r w:rsidR="00986CDB">
        <w:t>)</w:t>
      </w:r>
    </w:p>
    <w:p w14:paraId="29D0443F" w14:textId="394210BE" w:rsidR="00986CDB" w:rsidRPr="00A04C2B" w:rsidRDefault="00986CDB" w:rsidP="00A5599B">
      <w:pPr>
        <w:pStyle w:val="ZT"/>
      </w:pPr>
      <w:r w:rsidRPr="00BA46A6">
        <w:t>S</w:t>
      </w:r>
      <w:r w:rsidR="00173A6C">
        <w:t>mart cities and communities: standardisation to meet citizen and consumer requirements</w:t>
      </w:r>
    </w:p>
    <w:p w14:paraId="3B10B06C" w14:textId="77777777" w:rsidR="006718C2" w:rsidRPr="00A04C2B" w:rsidRDefault="006718C2" w:rsidP="006718C2"/>
    <w:p w14:paraId="0A4CF16F" w14:textId="77777777" w:rsidR="0007181A" w:rsidRPr="00A04C2B" w:rsidRDefault="006718C2" w:rsidP="00094E3E">
      <w:pPr>
        <w:pStyle w:val="B0Bold"/>
      </w:pPr>
      <w:r w:rsidRPr="00A04C2B">
        <w:t>Summary information</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86"/>
      </w:tblGrid>
      <w:tr w:rsidR="000B331A" w:rsidRPr="00486632" w14:paraId="1F5E92CF" w14:textId="77777777" w:rsidTr="00BB1986">
        <w:trPr>
          <w:trHeight w:val="1363"/>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32B3D723" w14:textId="77777777" w:rsidR="000B331A" w:rsidRPr="00A04C2B" w:rsidRDefault="000B331A" w:rsidP="002465C1">
            <w:pPr>
              <w:jc w:val="left"/>
            </w:pPr>
            <w:r w:rsidRPr="00A04C2B">
              <w:t>Funding</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203F543B" w14:textId="11DAF073" w:rsidR="0034301C" w:rsidRDefault="00986CDB" w:rsidP="00DE5BEC">
            <w:pPr>
              <w:tabs>
                <w:tab w:val="clear" w:pos="1418"/>
                <w:tab w:val="clear" w:pos="4678"/>
                <w:tab w:val="clear" w:pos="5954"/>
                <w:tab w:val="clear" w:pos="7088"/>
                <w:tab w:val="left" w:pos="3435"/>
                <w:tab w:val="left" w:pos="4995"/>
              </w:tabs>
              <w:jc w:val="left"/>
              <w:rPr>
                <w:b/>
              </w:rPr>
            </w:pPr>
            <w:r>
              <w:rPr>
                <w:b/>
              </w:rPr>
              <w:t>EC/EFTA. Specific agreement N°ETSI/201</w:t>
            </w:r>
            <w:r w:rsidR="00173A6C">
              <w:rPr>
                <w:b/>
              </w:rPr>
              <w:t>7</w:t>
            </w:r>
            <w:r>
              <w:rPr>
                <w:b/>
              </w:rPr>
              <w:t>-0</w:t>
            </w:r>
            <w:r w:rsidR="00173A6C">
              <w:rPr>
                <w:b/>
              </w:rPr>
              <w:t>3</w:t>
            </w:r>
            <w:r>
              <w:rPr>
                <w:b/>
              </w:rPr>
              <w:t xml:space="preserve">. </w:t>
            </w:r>
          </w:p>
          <w:p w14:paraId="37C56558" w14:textId="5B8FF384" w:rsidR="000B331A" w:rsidRPr="00DE23ED" w:rsidRDefault="00986CDB" w:rsidP="00DE5BEC">
            <w:pPr>
              <w:tabs>
                <w:tab w:val="clear" w:pos="1418"/>
                <w:tab w:val="clear" w:pos="4678"/>
                <w:tab w:val="clear" w:pos="5954"/>
                <w:tab w:val="clear" w:pos="7088"/>
                <w:tab w:val="left" w:pos="3435"/>
                <w:tab w:val="left" w:pos="4995"/>
              </w:tabs>
              <w:jc w:val="left"/>
            </w:pPr>
            <w:r w:rsidRPr="00DE23ED">
              <w:t>Total budget 1</w:t>
            </w:r>
            <w:r w:rsidR="00173A6C">
              <w:t>45 291,80</w:t>
            </w:r>
            <w:r w:rsidRPr="00DE23ED">
              <w:t xml:space="preserve"> EUR</w:t>
            </w:r>
          </w:p>
          <w:p w14:paraId="1E1132BC" w14:textId="58830260" w:rsidR="00C74467" w:rsidRPr="00DE23ED" w:rsidRDefault="00C74467" w:rsidP="001F6288">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Manpower budget: </w:t>
            </w:r>
            <w:r w:rsidR="00DD323B" w:rsidRPr="00DD323B">
              <w:rPr>
                <w:rFonts w:ascii="Arial" w:hAnsi="Arial" w:cs="Arial"/>
                <w:sz w:val="20"/>
              </w:rPr>
              <w:t>92 891</w:t>
            </w:r>
            <w:r w:rsidR="00173A6C" w:rsidRPr="00DD323B">
              <w:rPr>
                <w:rFonts w:ascii="Arial" w:hAnsi="Arial" w:cs="Arial"/>
                <w:sz w:val="20"/>
              </w:rPr>
              <w:t>,80</w:t>
            </w:r>
            <w:r w:rsidRPr="00DE23ED">
              <w:rPr>
                <w:rFonts w:ascii="Arial" w:hAnsi="Arial" w:cs="Arial"/>
                <w:sz w:val="20"/>
              </w:rPr>
              <w:t xml:space="preserve"> €</w:t>
            </w:r>
          </w:p>
          <w:p w14:paraId="49951D0B" w14:textId="302426D0" w:rsidR="00C74467" w:rsidRPr="00DE23ED" w:rsidRDefault="00C74467" w:rsidP="001F6288">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Travel budget: </w:t>
            </w:r>
            <w:r w:rsidR="00DD323B">
              <w:rPr>
                <w:rFonts w:ascii="Arial" w:hAnsi="Arial" w:cs="Arial"/>
                <w:sz w:val="20"/>
              </w:rPr>
              <w:t>22 400,00</w:t>
            </w:r>
            <w:r w:rsidRPr="00DE23ED">
              <w:rPr>
                <w:rFonts w:ascii="Arial" w:hAnsi="Arial" w:cs="Arial"/>
                <w:sz w:val="20"/>
              </w:rPr>
              <w:t>€</w:t>
            </w:r>
          </w:p>
          <w:p w14:paraId="38513B59" w14:textId="51F58F75" w:rsidR="00C74467" w:rsidRPr="00DE23ED" w:rsidRDefault="00793352" w:rsidP="001F6288">
            <w:pPr>
              <w:pStyle w:val="ListParagraph"/>
              <w:numPr>
                <w:ilvl w:val="0"/>
                <w:numId w:val="12"/>
              </w:numPr>
              <w:tabs>
                <w:tab w:val="left" w:pos="3435"/>
                <w:tab w:val="left" w:pos="4995"/>
              </w:tabs>
              <w:rPr>
                <w:rFonts w:cs="Arial"/>
              </w:rPr>
            </w:pPr>
            <w:r>
              <w:rPr>
                <w:rFonts w:ascii="Arial" w:hAnsi="Arial" w:cs="Arial"/>
                <w:sz w:val="20"/>
              </w:rPr>
              <w:t>S</w:t>
            </w:r>
            <w:r w:rsidR="00C74467" w:rsidRPr="00DE23ED">
              <w:rPr>
                <w:rFonts w:ascii="Arial" w:hAnsi="Arial" w:cs="Arial"/>
                <w:sz w:val="20"/>
              </w:rPr>
              <w:t>ubcontract</w:t>
            </w:r>
            <w:r>
              <w:rPr>
                <w:rFonts w:ascii="Arial" w:hAnsi="Arial" w:cs="Arial"/>
                <w:sz w:val="20"/>
              </w:rPr>
              <w:t>ing to external organisations (“Open Meeting”)</w:t>
            </w:r>
            <w:r w:rsidR="00C74467" w:rsidRPr="00DE23ED">
              <w:rPr>
                <w:rFonts w:ascii="Arial" w:hAnsi="Arial" w:cs="Arial"/>
                <w:sz w:val="20"/>
              </w:rPr>
              <w:t xml:space="preserve">: </w:t>
            </w:r>
            <w:r w:rsidR="00173A6C">
              <w:rPr>
                <w:rFonts w:ascii="Arial" w:hAnsi="Arial" w:cs="Arial"/>
                <w:sz w:val="20"/>
              </w:rPr>
              <w:t>30</w:t>
            </w:r>
            <w:r w:rsidR="00C74467" w:rsidRPr="00DE23ED">
              <w:rPr>
                <w:rFonts w:ascii="Arial" w:hAnsi="Arial" w:cs="Arial"/>
                <w:sz w:val="20"/>
              </w:rPr>
              <w:t> 000€</w:t>
            </w:r>
          </w:p>
        </w:tc>
      </w:tr>
      <w:tr w:rsidR="00D517C9" w:rsidRPr="00486632" w14:paraId="00750602" w14:textId="77777777" w:rsidTr="00BB1986">
        <w:trPr>
          <w:trHeight w:val="521"/>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0A32E200" w14:textId="14D40A00" w:rsidR="00D517C9" w:rsidRPr="00486632" w:rsidRDefault="00D517C9" w:rsidP="00D517C9">
            <w:pPr>
              <w:jc w:val="left"/>
            </w:pPr>
            <w:r w:rsidRPr="00486632">
              <w:t>Time scale</w:t>
            </w:r>
          </w:p>
        </w:tc>
        <w:tc>
          <w:tcPr>
            <w:tcW w:w="828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9265DE" w14:textId="2CC6BD78" w:rsidR="00DE23ED" w:rsidRPr="00DD323B" w:rsidRDefault="00DE23ED" w:rsidP="00DE6313">
            <w:r w:rsidRPr="00DD323B">
              <w:t xml:space="preserve">Start date: </w:t>
            </w:r>
            <w:r w:rsidR="00DD323B" w:rsidRPr="00DD323B">
              <w:t>November</w:t>
            </w:r>
            <w:r w:rsidRPr="00DD323B">
              <w:t xml:space="preserve"> 2018</w:t>
            </w:r>
          </w:p>
          <w:p w14:paraId="5D14C276" w14:textId="75F5674B" w:rsidR="00D517C9" w:rsidRPr="008207D1" w:rsidRDefault="00934356" w:rsidP="00DE6313">
            <w:pPr>
              <w:rPr>
                <w:highlight w:val="yellow"/>
              </w:rPr>
            </w:pPr>
            <w:r w:rsidRPr="00DD323B">
              <w:t xml:space="preserve">End date: October </w:t>
            </w:r>
            <w:r w:rsidR="00DE23ED" w:rsidRPr="00DD323B">
              <w:t>2020</w:t>
            </w:r>
          </w:p>
        </w:tc>
      </w:tr>
      <w:tr w:rsidR="00255D75" w:rsidRPr="00486632" w14:paraId="147E60AD" w14:textId="77777777" w:rsidTr="00BB1986">
        <w:trPr>
          <w:trHeight w:val="756"/>
        </w:trPr>
        <w:tc>
          <w:tcPr>
            <w:tcW w:w="1392" w:type="dxa"/>
            <w:tcBorders>
              <w:top w:val="single" w:sz="4" w:space="0" w:color="auto"/>
              <w:left w:val="single" w:sz="4" w:space="0" w:color="auto"/>
              <w:bottom w:val="single" w:sz="4" w:space="0" w:color="auto"/>
              <w:right w:val="single" w:sz="4" w:space="0" w:color="auto"/>
            </w:tcBorders>
            <w:tcMar>
              <w:top w:w="28" w:type="dxa"/>
              <w:bottom w:w="28" w:type="dxa"/>
            </w:tcMar>
          </w:tcPr>
          <w:p w14:paraId="247425BD" w14:textId="77777777" w:rsidR="00255D75" w:rsidRPr="00486632" w:rsidRDefault="00255D75" w:rsidP="003C10D0">
            <w:pPr>
              <w:jc w:val="left"/>
            </w:pPr>
            <w:r w:rsidRPr="00486632">
              <w:t xml:space="preserve">Work Items </w:t>
            </w:r>
          </w:p>
        </w:tc>
        <w:tc>
          <w:tcPr>
            <w:tcW w:w="8286" w:type="dxa"/>
            <w:tcBorders>
              <w:top w:val="single" w:sz="4" w:space="0" w:color="auto"/>
              <w:left w:val="single" w:sz="4" w:space="0" w:color="auto"/>
              <w:bottom w:val="single" w:sz="4" w:space="0" w:color="auto"/>
              <w:right w:val="single" w:sz="4" w:space="0" w:color="auto"/>
            </w:tcBorders>
            <w:tcMar>
              <w:top w:w="28" w:type="dxa"/>
              <w:bottom w:w="28" w:type="dxa"/>
            </w:tcMar>
          </w:tcPr>
          <w:p w14:paraId="627097DA" w14:textId="10547A63" w:rsidR="00DE23ED" w:rsidRPr="00DE23ED" w:rsidRDefault="009D44A4" w:rsidP="00C51435">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 xml:space="preserve">DTR/HF-00162: </w:t>
            </w:r>
            <w:proofErr w:type="spellStart"/>
            <w:r w:rsidRPr="009D44A4">
              <w:rPr>
                <w:rFonts w:cs="Arial"/>
                <w:bCs/>
                <w:color w:val="000000"/>
              </w:rPr>
              <w:t>SmartCities</w:t>
            </w:r>
            <w:proofErr w:type="spellEnd"/>
            <w:r w:rsidRPr="009D44A4">
              <w:rPr>
                <w:rFonts w:cs="Arial"/>
                <w:bCs/>
                <w:color w:val="000000"/>
              </w:rPr>
              <w:t>: Smart cities and communities standardization for citizens &amp; consumers</w:t>
            </w:r>
          </w:p>
        </w:tc>
      </w:tr>
    </w:tbl>
    <w:p w14:paraId="08755396" w14:textId="77777777" w:rsidR="0007181A" w:rsidRPr="00486632" w:rsidRDefault="0007181A" w:rsidP="00094E3E"/>
    <w:p w14:paraId="7DEBB2E9" w14:textId="4A1B923F" w:rsidR="00C51435" w:rsidRDefault="00C51435">
      <w:pPr>
        <w:tabs>
          <w:tab w:val="clear" w:pos="1418"/>
          <w:tab w:val="clear" w:pos="4678"/>
          <w:tab w:val="clear" w:pos="5954"/>
          <w:tab w:val="clear" w:pos="7088"/>
        </w:tabs>
        <w:overflowPunct/>
        <w:autoSpaceDE/>
        <w:autoSpaceDN/>
        <w:adjustRightInd/>
        <w:jc w:val="left"/>
        <w:textAlignment w:val="auto"/>
      </w:pPr>
    </w:p>
    <w:p w14:paraId="0116D4DF" w14:textId="1BAFB161" w:rsidR="00E46006" w:rsidRPr="00795A5C" w:rsidRDefault="00E46006" w:rsidP="00C51435">
      <w:pPr>
        <w:tabs>
          <w:tab w:val="clear" w:pos="1418"/>
          <w:tab w:val="clear" w:pos="4678"/>
          <w:tab w:val="clear" w:pos="5954"/>
          <w:tab w:val="clear" w:pos="7088"/>
        </w:tabs>
        <w:overflowPunct/>
        <w:autoSpaceDE/>
        <w:autoSpaceDN/>
        <w:adjustRightInd/>
        <w:jc w:val="left"/>
        <w:textAlignment w:val="auto"/>
        <w:rPr>
          <w:b/>
          <w:sz w:val="28"/>
          <w:u w:val="single"/>
        </w:rPr>
      </w:pPr>
      <w:r w:rsidRPr="00795A5C">
        <w:rPr>
          <w:b/>
          <w:sz w:val="28"/>
          <w:u w:val="single"/>
        </w:rPr>
        <w:t>Part I – Policy relevance and expected market impact</w:t>
      </w:r>
    </w:p>
    <w:p w14:paraId="63F11154" w14:textId="77777777" w:rsidR="00E46006" w:rsidRPr="008207D1" w:rsidRDefault="00E46006" w:rsidP="00E46006">
      <w:pPr>
        <w:tabs>
          <w:tab w:val="left" w:pos="360"/>
        </w:tabs>
        <w:rPr>
          <w:sz w:val="24"/>
          <w:szCs w:val="24"/>
        </w:rPr>
      </w:pPr>
    </w:p>
    <w:p w14:paraId="3232A4B3" w14:textId="77777777" w:rsidR="00E46006" w:rsidRPr="00795A5C" w:rsidRDefault="00E46006" w:rsidP="001F6288">
      <w:pPr>
        <w:pStyle w:val="Heading1"/>
        <w:keepLines w:val="0"/>
        <w:numPr>
          <w:ilvl w:val="0"/>
          <w:numId w:val="8"/>
        </w:numPr>
        <w:tabs>
          <w:tab w:val="clear" w:pos="1418"/>
        </w:tabs>
        <w:overflowPunct/>
        <w:autoSpaceDE/>
        <w:autoSpaceDN/>
        <w:adjustRightInd/>
        <w:jc w:val="both"/>
        <w:textAlignment w:val="auto"/>
      </w:pPr>
      <w:r w:rsidRPr="00795A5C">
        <w:t>Policy relevance</w:t>
      </w:r>
    </w:p>
    <w:p w14:paraId="26EC05C1" w14:textId="6C627E7B" w:rsidR="009D44A4" w:rsidRDefault="009D44A4" w:rsidP="009D44A4">
      <w:r>
        <w:t>This proposal provides support for the creation of a comprehensive overview of the standardization requirements of the citizen, in the context of being an inhabitant of, or visitor to, a smart city or community.</w:t>
      </w:r>
    </w:p>
    <w:p w14:paraId="199B2BD2" w14:textId="77777777" w:rsidR="002611D0" w:rsidRDefault="002611D0" w:rsidP="009D44A4"/>
    <w:p w14:paraId="47A58D10" w14:textId="29EC2E9A" w:rsidR="009D44A4" w:rsidRDefault="009D44A4" w:rsidP="009D44A4">
      <w:r>
        <w:t>Since industrialisation, our world has been considerably weakened by unsustainable development and rampant over-consumption. Humanity faces several environmental sustainability challenges including, but not limited to, declining biodiversity, degraded land and soil, depleting natural resources, polluted air and water, and increasingly severe climate changes. Closely interlinked are issues of population increase and rural-to-urban migration, which is occurring at an extraordinary pace: since 2008, more than half of the global population ha</w:t>
      </w:r>
      <w:r w:rsidR="002611D0">
        <w:t>s been and is living in cities.</w:t>
      </w:r>
    </w:p>
    <w:p w14:paraId="64C48F41" w14:textId="77777777" w:rsidR="002611D0" w:rsidRDefault="002611D0" w:rsidP="009D44A4"/>
    <w:p w14:paraId="35217162" w14:textId="210BEAE2" w:rsidR="009D44A4" w:rsidRDefault="009D44A4" w:rsidP="009D44A4">
      <w:r>
        <w:t xml:space="preserve">Adapting to these challenges will require increased cooperation among local actors, along with comprehensive systems that can create and maintain synergies for sustainable urban societies in which people want to work, live and maximise their well-being. Cities can also be seen as one of the ‘driving forces’ in generating European economic and sustainable growth, given, for example, the opportunities provided by the green economy. </w:t>
      </w:r>
    </w:p>
    <w:p w14:paraId="613E918D" w14:textId="77777777" w:rsidR="002611D0" w:rsidRDefault="002611D0" w:rsidP="009D44A4"/>
    <w:p w14:paraId="5F079CE2" w14:textId="069B4681" w:rsidR="009D44A4" w:rsidRDefault="009D44A4" w:rsidP="009D44A4">
      <w:r>
        <w:t>Cities are becoming more and more of a focal point for our economies and societies at large, particularly because of on-going urbanisation, and the trend towards increasingly knowledge-intensive economies as well as their growing share of resource consumption and emissions. To meet public policy objectives under these circumstances, cities need to change and develop, but in times of ever tighter budgets this change needs to be achieved in a smart way: our cities need to become 'smart/sustainable-cities/communities'.</w:t>
      </w:r>
    </w:p>
    <w:p w14:paraId="0DEC651C" w14:textId="77777777" w:rsidR="002611D0" w:rsidRDefault="002611D0" w:rsidP="009D44A4"/>
    <w:p w14:paraId="421A739A" w14:textId="597B2881" w:rsidR="009D44A4" w:rsidRDefault="009D44A4" w:rsidP="009D44A4">
      <w:r>
        <w:lastRenderedPageBreak/>
        <w:t>It is important that initiatives strive towards a triple bottom line gain for Europe: a significant improvement of citizens' quality of life, an increased competitiveness of Europe's industry and innovative SMEs together with a strong contribution towards sustainability and the EU’s 20/20/20 energy and climate targets. This will be achieved through the wide-reaching roll out of integrated, scalable, sustainable smart city/community solutions – specifically in areas where energy production, distribution and use, mobility and transport, and information and communication technologies, are intimately linked.</w:t>
      </w:r>
    </w:p>
    <w:p w14:paraId="64CDBFC4" w14:textId="77777777" w:rsidR="002611D0" w:rsidRDefault="002611D0" w:rsidP="009D44A4"/>
    <w:p w14:paraId="0BD1AB32" w14:textId="4CB6C6E1" w:rsidR="009D44A4" w:rsidRDefault="009D44A4" w:rsidP="009D44A4">
      <w:r>
        <w:t xml:space="preserve">Linking and upgrading infrastructures, technologies and services in key urban sectors (transport, buildings, energy, ICT) in a smart way will improve quality of life, competitiveness, and sustainability of our cities. </w:t>
      </w:r>
    </w:p>
    <w:p w14:paraId="1AF88D38" w14:textId="77777777" w:rsidR="002611D0" w:rsidRDefault="002611D0" w:rsidP="009D44A4"/>
    <w:p w14:paraId="05A16540" w14:textId="10CEE431" w:rsidR="009D44A4" w:rsidRDefault="009D44A4" w:rsidP="009D44A4">
      <w:r>
        <w:t>The smart community offers considerable opportunity not only for citizens to have an improved living environment in which they can benefit from effective services, but also for them to influence matters affecting their daily lives. At the same time, equal treatment for all citizens needs to be ensured, and account needs to be taken of "big data" risks to their personal information.</w:t>
      </w:r>
    </w:p>
    <w:p w14:paraId="6C14E737" w14:textId="77777777" w:rsidR="002611D0" w:rsidRDefault="002611D0" w:rsidP="009D44A4"/>
    <w:p w14:paraId="1BB5F1B0" w14:textId="541C2413" w:rsidR="009D44A4" w:rsidRDefault="009D44A4" w:rsidP="009D44A4">
      <w:r>
        <w:t>Against this background, citizens need:</w:t>
      </w:r>
    </w:p>
    <w:p w14:paraId="56A0D8CC" w14:textId="77777777" w:rsidR="002611D0" w:rsidRDefault="002611D0" w:rsidP="009D44A4"/>
    <w:p w14:paraId="2E05B193" w14:textId="24751517" w:rsidR="009D44A4" w:rsidRPr="002611D0" w:rsidRDefault="009D44A4" w:rsidP="001F6288">
      <w:pPr>
        <w:pStyle w:val="ListParagraph"/>
        <w:numPr>
          <w:ilvl w:val="0"/>
          <w:numId w:val="14"/>
        </w:numPr>
        <w:ind w:left="426" w:hanging="432"/>
        <w:rPr>
          <w:rFonts w:ascii="Arial" w:hAnsi="Arial" w:cs="Arial"/>
          <w:sz w:val="20"/>
        </w:rPr>
      </w:pPr>
      <w:r w:rsidRPr="002611D0">
        <w:rPr>
          <w:rFonts w:ascii="Arial" w:hAnsi="Arial" w:cs="Arial"/>
          <w:sz w:val="20"/>
        </w:rPr>
        <w:t>transparent information about the public and commercial services being provided in a smart/sustainable-city/community, what is their cost, what are their rights and the redress procedures when they go wrong, etc.;</w:t>
      </w:r>
    </w:p>
    <w:p w14:paraId="2B7A1691" w14:textId="40348568" w:rsidR="009D44A4" w:rsidRPr="002611D0" w:rsidRDefault="009D44A4" w:rsidP="001F6288">
      <w:pPr>
        <w:pStyle w:val="ListParagraph"/>
        <w:numPr>
          <w:ilvl w:val="0"/>
          <w:numId w:val="14"/>
        </w:numPr>
        <w:ind w:left="426" w:hanging="432"/>
        <w:rPr>
          <w:rFonts w:ascii="Arial" w:hAnsi="Arial" w:cs="Arial"/>
          <w:sz w:val="20"/>
        </w:rPr>
      </w:pPr>
      <w:r w:rsidRPr="002611D0">
        <w:rPr>
          <w:rFonts w:ascii="Arial" w:hAnsi="Arial" w:cs="Arial"/>
          <w:sz w:val="20"/>
        </w:rPr>
        <w:t>mechanisms to ensure their individual voice is heard;</w:t>
      </w:r>
    </w:p>
    <w:p w14:paraId="05C07B11" w14:textId="528E24A3" w:rsidR="009D44A4" w:rsidRPr="002611D0" w:rsidRDefault="009D44A4" w:rsidP="001F6288">
      <w:pPr>
        <w:pStyle w:val="ListParagraph"/>
        <w:numPr>
          <w:ilvl w:val="0"/>
          <w:numId w:val="14"/>
        </w:numPr>
        <w:ind w:left="426" w:hanging="432"/>
        <w:rPr>
          <w:rFonts w:ascii="Arial" w:hAnsi="Arial" w:cs="Arial"/>
          <w:sz w:val="20"/>
        </w:rPr>
      </w:pPr>
      <w:r w:rsidRPr="002611D0">
        <w:rPr>
          <w:rFonts w:ascii="Arial" w:hAnsi="Arial" w:cs="Arial"/>
          <w:sz w:val="20"/>
        </w:rPr>
        <w:t>assurances that the security of their personal information is properly protected and that this data will not be misused for commercial purposes;</w:t>
      </w:r>
    </w:p>
    <w:p w14:paraId="443DEC1B" w14:textId="102C932E" w:rsidR="009D44A4" w:rsidRPr="002611D0" w:rsidRDefault="009D44A4" w:rsidP="001F6288">
      <w:pPr>
        <w:pStyle w:val="ListParagraph"/>
        <w:numPr>
          <w:ilvl w:val="0"/>
          <w:numId w:val="14"/>
        </w:numPr>
        <w:ind w:left="426" w:hanging="432"/>
        <w:rPr>
          <w:rFonts w:ascii="Arial" w:hAnsi="Arial" w:cs="Arial"/>
          <w:sz w:val="20"/>
        </w:rPr>
      </w:pPr>
      <w:r w:rsidRPr="002611D0">
        <w:rPr>
          <w:rFonts w:ascii="Arial" w:hAnsi="Arial" w:cs="Arial"/>
          <w:sz w:val="20"/>
        </w:rPr>
        <w:t>support and education for those unable to take immediate and full advantage of smart community living;</w:t>
      </w:r>
    </w:p>
    <w:p w14:paraId="169792BD" w14:textId="3F85F422" w:rsidR="009D44A4" w:rsidRPr="002611D0" w:rsidRDefault="009D44A4" w:rsidP="001F6288">
      <w:pPr>
        <w:pStyle w:val="ListParagraph"/>
        <w:numPr>
          <w:ilvl w:val="0"/>
          <w:numId w:val="14"/>
        </w:numPr>
        <w:ind w:left="426" w:hanging="432"/>
        <w:rPr>
          <w:rFonts w:ascii="Arial" w:hAnsi="Arial" w:cs="Arial"/>
          <w:sz w:val="20"/>
        </w:rPr>
      </w:pPr>
      <w:r w:rsidRPr="002611D0">
        <w:rPr>
          <w:rFonts w:ascii="Arial" w:hAnsi="Arial" w:cs="Arial"/>
          <w:sz w:val="20"/>
        </w:rPr>
        <w:t>a physical environment that ensures accessibility for very young and older people and those with disabilities.</w:t>
      </w:r>
    </w:p>
    <w:p w14:paraId="3FBFE354" w14:textId="77777777" w:rsidR="002611D0" w:rsidRDefault="002611D0" w:rsidP="009D44A4"/>
    <w:p w14:paraId="4FE528B6" w14:textId="42104CE4" w:rsidR="009D44A4" w:rsidRDefault="009D44A4" w:rsidP="002611D0">
      <w:pPr>
        <w:jc w:val="left"/>
      </w:pPr>
      <w:r>
        <w:t xml:space="preserve">It is European public policy to encourage the development of smart cities. As well as smart cities being a component of the European Strategic Energy Initiative (SETIS), the European Commission has created a Smart Cities and Communities European Innovation Partnership (SCC-EIP). This group has established a Smart Cities Stakeholder Platform (with ESO participation) and a High Level Group advising the Commission. The High Level Group released in early 2014 a Strategic Implementation Plan (SIP) that describes a joint vision, a common target and proposals for implementation, which contain standardisation aspects. The SIP is available at </w:t>
      </w:r>
      <w:hyperlink r:id="rId13" w:history="1">
        <w:r w:rsidR="002611D0" w:rsidRPr="00E66649">
          <w:rPr>
            <w:rStyle w:val="Hyperlink"/>
          </w:rPr>
          <w:t>http://ec.europa.eu/eip/smartcities/files/sip_final_en.pdf</w:t>
        </w:r>
      </w:hyperlink>
      <w:r>
        <w:t xml:space="preserve">. The EIP has established a “Marketplace” as a platform for information exchange - see </w:t>
      </w:r>
      <w:hyperlink r:id="rId14" w:history="1">
        <w:r w:rsidR="002611D0" w:rsidRPr="00E66649">
          <w:rPr>
            <w:rStyle w:val="Hyperlink"/>
          </w:rPr>
          <w:t>https://eu-smartcities.eu/</w:t>
        </w:r>
      </w:hyperlink>
      <w:r>
        <w:t>.</w:t>
      </w:r>
    </w:p>
    <w:p w14:paraId="47678C22" w14:textId="77777777" w:rsidR="002611D0" w:rsidRDefault="002611D0" w:rsidP="009D44A4"/>
    <w:p w14:paraId="20505FE1" w14:textId="7022CC27" w:rsidR="002611D0" w:rsidRDefault="009D44A4" w:rsidP="009D44A4">
      <w:r>
        <w:t>The request to develop a technical report on smart citizen requirements was also included in the 2016 and 2017 ICT Standardisation Rolling Plans (</w:t>
      </w:r>
      <w:hyperlink r:id="rId15" w:history="1">
        <w:r w:rsidR="002611D0" w:rsidRPr="00E66649">
          <w:rPr>
            <w:rStyle w:val="Hyperlink"/>
          </w:rPr>
          <w:t>https://joinup.ec.europa.eu/collection/rolling-plan-ict-standardisation/smart-cities-technologies-and-services-smart-and-efficient-energy-use</w:t>
        </w:r>
      </w:hyperlink>
      <w:r w:rsidR="002611D0">
        <w:t xml:space="preserve"> ).</w:t>
      </w:r>
    </w:p>
    <w:p w14:paraId="2557B5F8" w14:textId="2C44EF37" w:rsidR="009D44A4" w:rsidRDefault="009D44A4" w:rsidP="009D44A4">
      <w:r>
        <w:t>A CEN-CENELEC Technical Report was originally proposed, but CEN and CENELEC lack a suitable technical structure; on the other hand, ETSI TC HF can carry out this activity.</w:t>
      </w:r>
    </w:p>
    <w:p w14:paraId="6B99CA86" w14:textId="77777777" w:rsidR="002611D0" w:rsidRDefault="002611D0" w:rsidP="009D44A4"/>
    <w:p w14:paraId="5C04C42D" w14:textId="30ECBB7E" w:rsidR="00E46006" w:rsidRDefault="009D44A4" w:rsidP="009D44A4">
      <w:pPr>
        <w:rPr>
          <w:i/>
        </w:rPr>
      </w:pPr>
      <w:r>
        <w:t>An ETSI Technical Report is therefore needed to clarify whether further standardisation is needed on citizen issues related to smart cities (e.g. on what, where, when, etc.), and to take full account of other standards activities under way. The TR would also support recommendations that are being made at policy levels. For example, the SCC-EIP recommends to fully respect consumer privacy (EIP SCC operational implementation plan, page 6) in support of the strategic smart city goals. Also, the Commission and SETIS consider it essential for innovation to build trust, concerning energy data security and privacy.</w:t>
      </w:r>
    </w:p>
    <w:p w14:paraId="3DE6CAB0" w14:textId="77777777" w:rsidR="00E46006" w:rsidRDefault="00E46006" w:rsidP="00E46006">
      <w:pPr>
        <w:rPr>
          <w:i/>
        </w:rPr>
      </w:pPr>
    </w:p>
    <w:p w14:paraId="59FAA1B2"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t>Rationale</w:t>
      </w:r>
    </w:p>
    <w:p w14:paraId="21F02381" w14:textId="26EFCEE8" w:rsidR="009D44A4" w:rsidRDefault="009D44A4" w:rsidP="009D44A4">
      <w:r>
        <w:t xml:space="preserve">Standardization in this domain is still in its infancy. Indeed, the requirement for dedicated standards for smart cities as such is somewhat limited, existing work so far is confined to standards activity within ISO (Technical Committee 268 “Sustainable Development in Communities”) in terms of support for elements of management systems, common terminologies, common indicators, etc. There are different activities </w:t>
      </w:r>
      <w:r>
        <w:lastRenderedPageBreak/>
        <w:t xml:space="preserve">in a number of SSOs (ISO, IEC, ITU-T, </w:t>
      </w:r>
      <w:proofErr w:type="gramStart"/>
      <w:r>
        <w:t>ISO</w:t>
      </w:r>
      <w:proofErr w:type="gramEnd"/>
      <w:r>
        <w:t>-IEC/JTC1) seeking to provide strategic overviews of standardisation activities and requirements in smart cities, but these are for the most part high level.</w:t>
      </w:r>
    </w:p>
    <w:p w14:paraId="58E153AD" w14:textId="77777777" w:rsidR="002611D0" w:rsidRDefault="002611D0" w:rsidP="009D44A4"/>
    <w:p w14:paraId="148ECC28" w14:textId="02C1145A" w:rsidR="009D44A4" w:rsidRDefault="009D44A4" w:rsidP="009D44A4">
      <w:r>
        <w:t>At the European level, the CEN-CENELEC-ETSI Smart and Sustainable Cities</w:t>
      </w:r>
      <w:r>
        <w:rPr>
          <w:rFonts w:ascii="Tahoma" w:hAnsi="Tahoma" w:cs="Tahoma"/>
        </w:rPr>
        <w:t> </w:t>
      </w:r>
      <w:r>
        <w:t xml:space="preserve">Co-ordination Group (SSCC-CG) originally proposed the development of a Technical Report on citizen-related issues, later taken up in the ICT Rolling Action Plan. The SSCC-CG has been seeking to enhance overall understanding of smart city issues, and to try to engage the EIP on standardisation matters, but it is not a group designed to provide formal standards deliverables.  The SSCC-CG has now been converted to a longer-term CEN-CENELEC-ETSI Sector Forum, but equally this is not a </w:t>
      </w:r>
      <w:proofErr w:type="spellStart"/>
      <w:r>
        <w:t>a</w:t>
      </w:r>
      <w:proofErr w:type="spellEnd"/>
      <w:r>
        <w:t xml:space="preserve"> group producing standardisation deliverables. </w:t>
      </w:r>
    </w:p>
    <w:p w14:paraId="443663B0" w14:textId="77777777" w:rsidR="002611D0" w:rsidRDefault="002611D0" w:rsidP="009D44A4"/>
    <w:p w14:paraId="453AC82A" w14:textId="3492EFFA" w:rsidR="009D44A4" w:rsidRDefault="009D44A4" w:rsidP="009D44A4">
      <w:r>
        <w:t>On the other hand, the concept of integrating community infrastructures, technologies and services in a smart way embraces very many different standardisation activities, indeed from many different standards organisations. Not only are these activities fragmented, but very few have been initiated with the citizen perspective in mind; they are generally driven by industrial requirements in terms of tech</w:t>
      </w:r>
      <w:r w:rsidR="002611D0">
        <w:t>nologies or service provision.</w:t>
      </w:r>
    </w:p>
    <w:p w14:paraId="040D290F" w14:textId="77777777" w:rsidR="002611D0" w:rsidRDefault="002611D0" w:rsidP="009D44A4"/>
    <w:p w14:paraId="38890259" w14:textId="535F4D6D" w:rsidR="006A5009" w:rsidRDefault="009D44A4" w:rsidP="009D44A4">
      <w:r>
        <w:t>No overview is currently available, and the proposed Technical Report will go a long way towards redressing the balance by making a dedicated assessment of the needs of citizens in the relevant development areas and related</w:t>
      </w:r>
      <w:r w:rsidR="002611D0">
        <w:t xml:space="preserve"> standardisation requirements.</w:t>
      </w:r>
    </w:p>
    <w:p w14:paraId="3835F889" w14:textId="77777777" w:rsidR="006A5009" w:rsidRDefault="006A5009" w:rsidP="00E46006">
      <w:bookmarkStart w:id="1" w:name="_Ref413860552"/>
    </w:p>
    <w:bookmarkEnd w:id="1"/>
    <w:p w14:paraId="30CD67A4" w14:textId="104CB15A"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D02573">
        <w:t>Objective</w:t>
      </w:r>
    </w:p>
    <w:p w14:paraId="3FE15836" w14:textId="7D02F369" w:rsidR="009D44A4" w:rsidRDefault="009D44A4" w:rsidP="009D44A4">
      <w:r>
        <w:t xml:space="preserve">The objective of the proposed activity is to prepare and develop an ETSI Technical Report identifying the requirements for citizen-related standardisation in the area of smart-city development, with the contents set out below. </w:t>
      </w:r>
    </w:p>
    <w:p w14:paraId="7540FDE0" w14:textId="77777777" w:rsidR="002611D0" w:rsidRDefault="002611D0" w:rsidP="009D44A4"/>
    <w:p w14:paraId="4301D54D" w14:textId="77777777" w:rsidR="009D44A4" w:rsidRDefault="009D44A4" w:rsidP="009D44A4">
      <w:r>
        <w:t>The activity will be carried out in ETSI TC Human Factors (TC HF) and a work item has been adopted, DTR/HF-00162 (which has ETSI TR 103 455 as the intended final result) with the title “Smart cities and communities standardization for citizens and consumers”.  The work will reflect the convergence between AIOTI and Smart Cities initiatives.</w:t>
      </w:r>
    </w:p>
    <w:p w14:paraId="3860C1F7" w14:textId="77777777" w:rsidR="009D44A4" w:rsidRDefault="009D44A4" w:rsidP="009D44A4">
      <w:r>
        <w:t>The proposed Technical Report will assess the different citizen-related issues that smart city-related standardization in the ICT domain needs to address. For each of these issues, the report will:</w:t>
      </w:r>
    </w:p>
    <w:p w14:paraId="72FDF625" w14:textId="0E847C15" w:rsidR="009D44A4" w:rsidRPr="009D44A4" w:rsidRDefault="009D44A4" w:rsidP="001F6288">
      <w:pPr>
        <w:pStyle w:val="ListParagraph"/>
        <w:numPr>
          <w:ilvl w:val="0"/>
          <w:numId w:val="13"/>
        </w:numPr>
        <w:ind w:left="567" w:hanging="567"/>
        <w:rPr>
          <w:rFonts w:ascii="Arial" w:hAnsi="Arial" w:cs="Arial"/>
          <w:sz w:val="20"/>
        </w:rPr>
      </w:pPr>
      <w:r w:rsidRPr="009D44A4">
        <w:rPr>
          <w:rFonts w:ascii="Arial" w:hAnsi="Arial" w:cs="Arial"/>
          <w:sz w:val="20"/>
        </w:rPr>
        <w:t>provide a short statement of the subject area;</w:t>
      </w:r>
    </w:p>
    <w:p w14:paraId="13D8EC58" w14:textId="6751EEBB" w:rsidR="009D44A4" w:rsidRPr="009D44A4" w:rsidRDefault="009D44A4" w:rsidP="001F6288">
      <w:pPr>
        <w:pStyle w:val="ListParagraph"/>
        <w:numPr>
          <w:ilvl w:val="0"/>
          <w:numId w:val="13"/>
        </w:numPr>
        <w:ind w:left="567" w:hanging="567"/>
        <w:rPr>
          <w:rFonts w:ascii="Arial" w:hAnsi="Arial" w:cs="Arial"/>
          <w:sz w:val="20"/>
        </w:rPr>
      </w:pPr>
      <w:r w:rsidRPr="009D44A4">
        <w:rPr>
          <w:rFonts w:ascii="Arial" w:hAnsi="Arial" w:cs="Arial"/>
          <w:sz w:val="20"/>
        </w:rPr>
        <w:t xml:space="preserve">make a short statement of the key citizen concerns (for example accessibility or </w:t>
      </w:r>
      <w:r w:rsidRPr="009D44A4">
        <w:rPr>
          <w:rFonts w:ascii="Arial" w:hAnsi="Arial" w:cs="Arial"/>
          <w:sz w:val="20"/>
        </w:rPr>
        <w:tab/>
        <w:t>privacy) related to the subject;</w:t>
      </w:r>
    </w:p>
    <w:p w14:paraId="03EFAC09" w14:textId="34F48A7B" w:rsidR="009D44A4" w:rsidRPr="009D44A4" w:rsidRDefault="009D44A4" w:rsidP="001F6288">
      <w:pPr>
        <w:pStyle w:val="ListParagraph"/>
        <w:numPr>
          <w:ilvl w:val="0"/>
          <w:numId w:val="13"/>
        </w:numPr>
        <w:ind w:left="567" w:hanging="567"/>
        <w:rPr>
          <w:rFonts w:ascii="Arial" w:hAnsi="Arial" w:cs="Arial"/>
          <w:sz w:val="20"/>
        </w:rPr>
      </w:pPr>
      <w:r w:rsidRPr="009D44A4">
        <w:rPr>
          <w:rFonts w:ascii="Arial" w:hAnsi="Arial" w:cs="Arial"/>
          <w:sz w:val="20"/>
        </w:rPr>
        <w:t>list relevant current standards and ongoing relevant standards activities,</w:t>
      </w:r>
    </w:p>
    <w:p w14:paraId="1CA7945D" w14:textId="4F9FE451" w:rsidR="009D44A4" w:rsidRPr="009D44A4" w:rsidRDefault="009D44A4" w:rsidP="001F6288">
      <w:pPr>
        <w:pStyle w:val="ListParagraph"/>
        <w:numPr>
          <w:ilvl w:val="0"/>
          <w:numId w:val="13"/>
        </w:numPr>
        <w:ind w:left="567" w:hanging="567"/>
        <w:rPr>
          <w:rFonts w:ascii="Arial" w:hAnsi="Arial" w:cs="Arial"/>
          <w:sz w:val="20"/>
        </w:rPr>
      </w:pPr>
      <w:r w:rsidRPr="009D44A4">
        <w:rPr>
          <w:rFonts w:ascii="Arial" w:hAnsi="Arial" w:cs="Arial"/>
          <w:sz w:val="20"/>
        </w:rPr>
        <w:t xml:space="preserve">assess whether it appears the activities are in practice taking reasonable account of the </w:t>
      </w:r>
      <w:r w:rsidRPr="009D44A4">
        <w:rPr>
          <w:rFonts w:ascii="Arial" w:hAnsi="Arial" w:cs="Arial"/>
          <w:sz w:val="20"/>
        </w:rPr>
        <w:tab/>
        <w:t xml:space="preserve">smart city/community dimension from the perspective of citizen welfare, and if not, what </w:t>
      </w:r>
      <w:r w:rsidRPr="009D44A4">
        <w:rPr>
          <w:rFonts w:ascii="Arial" w:hAnsi="Arial" w:cs="Arial"/>
          <w:sz w:val="20"/>
        </w:rPr>
        <w:tab/>
        <w:t>might be needed to rectify the position;</w:t>
      </w:r>
    </w:p>
    <w:p w14:paraId="63F36503" w14:textId="13DEEAB2" w:rsidR="009D44A4" w:rsidRPr="009D44A4" w:rsidRDefault="009D44A4" w:rsidP="001F6288">
      <w:pPr>
        <w:pStyle w:val="ListParagraph"/>
        <w:numPr>
          <w:ilvl w:val="0"/>
          <w:numId w:val="13"/>
        </w:numPr>
        <w:ind w:left="567" w:hanging="567"/>
        <w:rPr>
          <w:rFonts w:ascii="Arial" w:hAnsi="Arial" w:cs="Arial"/>
          <w:sz w:val="20"/>
        </w:rPr>
      </w:pPr>
      <w:r w:rsidRPr="009D44A4">
        <w:rPr>
          <w:rFonts w:ascii="Arial" w:hAnsi="Arial" w:cs="Arial"/>
          <w:sz w:val="20"/>
        </w:rPr>
        <w:t>identify any further general legal and ethical issues that require attention outside the standardisation domain, or other issues not covered.</w:t>
      </w:r>
    </w:p>
    <w:p w14:paraId="69DE7339" w14:textId="77777777" w:rsidR="009D44A4" w:rsidRDefault="009D44A4" w:rsidP="009D44A4"/>
    <w:p w14:paraId="0B770AE5" w14:textId="478D9B35" w:rsidR="009D44A4" w:rsidRDefault="009D44A4" w:rsidP="009D44A4">
      <w:r>
        <w:t xml:space="preserve">The Report will provide a brief introduction outlining how it has been drafted, i.e. what the topics included are, and how each issue is treated (suggest the same basic pattern of sub-headings for each topic as far as appropriate). These sub-headings should cover the five bullets listed above in the scope, emphasising what is the suggested good/best practice. </w:t>
      </w:r>
    </w:p>
    <w:p w14:paraId="1E881BAB" w14:textId="77777777" w:rsidR="002611D0" w:rsidRDefault="002611D0" w:rsidP="009D44A4"/>
    <w:p w14:paraId="693C83FD" w14:textId="70E9AEC2" w:rsidR="009D44A4" w:rsidRDefault="009D44A4" w:rsidP="009D44A4">
      <w:pPr>
        <w:tabs>
          <w:tab w:val="clear" w:pos="1418"/>
          <w:tab w:val="left" w:pos="709"/>
        </w:tabs>
      </w:pPr>
      <w:r>
        <w:t>The core sections of the report should assess the following specific issues:</w:t>
      </w:r>
    </w:p>
    <w:p w14:paraId="34EE23F0" w14:textId="77777777" w:rsidR="009D44A4" w:rsidRPr="009D44A4" w:rsidRDefault="009D44A4" w:rsidP="009D44A4"/>
    <w:p w14:paraId="530DC084" w14:textId="3EBCEFD1" w:rsidR="00E46006" w:rsidRDefault="002611D0" w:rsidP="001F6288">
      <w:pPr>
        <w:pStyle w:val="Heading2"/>
        <w:keepLines w:val="0"/>
        <w:numPr>
          <w:ilvl w:val="1"/>
          <w:numId w:val="8"/>
        </w:numPr>
        <w:tabs>
          <w:tab w:val="clear" w:pos="1418"/>
        </w:tabs>
        <w:overflowPunct/>
        <w:autoSpaceDE/>
        <w:autoSpaceDN/>
        <w:adjustRightInd/>
        <w:jc w:val="both"/>
        <w:textAlignment w:val="auto"/>
      </w:pPr>
      <w:r>
        <w:t>Citizens’ general needs</w:t>
      </w:r>
    </w:p>
    <w:p w14:paraId="5E642025" w14:textId="77777777" w:rsidR="002611D0" w:rsidRPr="002611D0" w:rsidRDefault="002611D0" w:rsidP="002611D0">
      <w:r w:rsidRPr="002611D0">
        <w:t>Smart cities should have citizen welfare at their core. The needs of the citizens should therefore be properly considered in every standardization activity relevant to smart cities.</w:t>
      </w:r>
    </w:p>
    <w:p w14:paraId="423220C8" w14:textId="77777777" w:rsidR="002611D0" w:rsidRPr="002611D0" w:rsidRDefault="002611D0" w:rsidP="002611D0">
      <w:r w:rsidRPr="002611D0">
        <w:t>After a general introduction to reflect this principle, this section will cover certain “horizontal” matters that affect citizens' lives, and which need to be taken due account of in standardization relevant to smart cities, including:</w:t>
      </w:r>
    </w:p>
    <w:p w14:paraId="18205D5E" w14:textId="77777777" w:rsidR="002611D0" w:rsidRPr="002611D0" w:rsidRDefault="002611D0" w:rsidP="001F6288">
      <w:pPr>
        <w:pStyle w:val="ListParagraph"/>
        <w:numPr>
          <w:ilvl w:val="0"/>
          <w:numId w:val="13"/>
        </w:numPr>
        <w:ind w:left="567" w:hanging="567"/>
        <w:rPr>
          <w:rFonts w:ascii="Arial" w:hAnsi="Arial" w:cs="Arial"/>
          <w:sz w:val="20"/>
        </w:rPr>
      </w:pPr>
      <w:r w:rsidRPr="002611D0">
        <w:rPr>
          <w:rFonts w:ascii="Arial" w:hAnsi="Arial" w:cs="Arial"/>
          <w:sz w:val="20"/>
        </w:rPr>
        <w:t>citizen involvement/empowerment, complaint and redress procedures;</w:t>
      </w:r>
    </w:p>
    <w:p w14:paraId="2CAAA848" w14:textId="77777777" w:rsidR="002611D0" w:rsidRPr="002611D0" w:rsidRDefault="002611D0" w:rsidP="001F6288">
      <w:pPr>
        <w:pStyle w:val="ListParagraph"/>
        <w:numPr>
          <w:ilvl w:val="0"/>
          <w:numId w:val="13"/>
        </w:numPr>
        <w:ind w:left="567" w:hanging="567"/>
        <w:rPr>
          <w:rFonts w:ascii="Arial" w:hAnsi="Arial" w:cs="Arial"/>
          <w:sz w:val="20"/>
        </w:rPr>
      </w:pPr>
      <w:r w:rsidRPr="002611D0">
        <w:rPr>
          <w:rFonts w:ascii="Arial" w:hAnsi="Arial" w:cs="Arial"/>
          <w:sz w:val="20"/>
        </w:rPr>
        <w:t>physical security;</w:t>
      </w:r>
    </w:p>
    <w:p w14:paraId="2A06906C" w14:textId="77777777" w:rsidR="002611D0" w:rsidRPr="002611D0" w:rsidRDefault="002611D0" w:rsidP="001F6288">
      <w:pPr>
        <w:pStyle w:val="ListParagraph"/>
        <w:numPr>
          <w:ilvl w:val="0"/>
          <w:numId w:val="13"/>
        </w:numPr>
        <w:ind w:left="567" w:hanging="567"/>
        <w:rPr>
          <w:rFonts w:ascii="Arial" w:hAnsi="Arial" w:cs="Arial"/>
          <w:sz w:val="20"/>
        </w:rPr>
      </w:pPr>
      <w:r w:rsidRPr="002611D0">
        <w:rPr>
          <w:rFonts w:ascii="Arial" w:hAnsi="Arial" w:cs="Arial"/>
          <w:sz w:val="20"/>
        </w:rPr>
        <w:t>cyber-security;</w:t>
      </w:r>
    </w:p>
    <w:p w14:paraId="58DF56E6" w14:textId="77777777" w:rsidR="002611D0" w:rsidRPr="002611D0" w:rsidRDefault="002611D0" w:rsidP="001F6288">
      <w:pPr>
        <w:pStyle w:val="ListParagraph"/>
        <w:numPr>
          <w:ilvl w:val="0"/>
          <w:numId w:val="13"/>
        </w:numPr>
        <w:ind w:left="567" w:hanging="567"/>
        <w:rPr>
          <w:rFonts w:ascii="Arial" w:hAnsi="Arial" w:cs="Arial"/>
          <w:sz w:val="20"/>
        </w:rPr>
      </w:pPr>
      <w:r w:rsidRPr="002611D0">
        <w:rPr>
          <w:rFonts w:ascii="Arial" w:hAnsi="Arial" w:cs="Arial"/>
          <w:sz w:val="20"/>
        </w:rPr>
        <w:lastRenderedPageBreak/>
        <w:t>exchange and handling of citizen data, data protection, digital privacy;</w:t>
      </w:r>
    </w:p>
    <w:p w14:paraId="0B15A354" w14:textId="49BE68B8" w:rsidR="002611D0" w:rsidRDefault="002611D0" w:rsidP="001F6288">
      <w:pPr>
        <w:pStyle w:val="ListParagraph"/>
        <w:numPr>
          <w:ilvl w:val="0"/>
          <w:numId w:val="13"/>
        </w:numPr>
        <w:ind w:left="567" w:hanging="567"/>
        <w:rPr>
          <w:rFonts w:ascii="Arial" w:hAnsi="Arial" w:cs="Arial"/>
          <w:sz w:val="20"/>
        </w:rPr>
      </w:pPr>
      <w:r w:rsidRPr="002611D0">
        <w:rPr>
          <w:rFonts w:ascii="Arial" w:hAnsi="Arial" w:cs="Arial"/>
          <w:sz w:val="20"/>
        </w:rPr>
        <w:t>accessibility, both physical and electronic.</w:t>
      </w:r>
    </w:p>
    <w:p w14:paraId="28C42A32" w14:textId="77777777" w:rsidR="002611D0" w:rsidRPr="002611D0" w:rsidRDefault="002611D0" w:rsidP="002611D0">
      <w:pPr>
        <w:pStyle w:val="ListParagraph"/>
        <w:ind w:left="567"/>
        <w:rPr>
          <w:rFonts w:ascii="Arial" w:hAnsi="Arial" w:cs="Arial"/>
          <w:sz w:val="20"/>
        </w:rPr>
      </w:pPr>
    </w:p>
    <w:p w14:paraId="582784F6" w14:textId="536752E8" w:rsidR="002611D0" w:rsidRDefault="002611D0" w:rsidP="002611D0">
      <w:r w:rsidRPr="002611D0">
        <w:t>The section will include the availability of new types of public and civic data services, provided through internet and smart phone applications, and the need for the provision of general data sets from multiple data sources, for citizens to access and analyse to help citizens identify new services or improvements to current services.</w:t>
      </w:r>
    </w:p>
    <w:p w14:paraId="3DE48079" w14:textId="77777777" w:rsidR="002611D0" w:rsidRPr="002611D0" w:rsidRDefault="002611D0" w:rsidP="002611D0"/>
    <w:p w14:paraId="7F24BB16" w14:textId="16CD7537" w:rsidR="002611D0" w:rsidRPr="002611D0" w:rsidRDefault="002611D0" w:rsidP="002611D0">
      <w:r w:rsidRPr="002611D0">
        <w:t xml:space="preserve">Mention will be made of developing “sharing economy” issues, since, for example, as these become more widespread, local authorities may in future be providing services to citizens in the new ways. </w:t>
      </w:r>
    </w:p>
    <w:p w14:paraId="786884E8" w14:textId="77777777" w:rsidR="00E46006" w:rsidRPr="00451FEB" w:rsidRDefault="00E46006" w:rsidP="00E46006">
      <w:pPr>
        <w:pStyle w:val="ListParagraph"/>
        <w:ind w:left="0"/>
        <w:rPr>
          <w:rFonts w:ascii="Arial" w:hAnsi="Arial" w:cs="Arial"/>
          <w:sz w:val="20"/>
        </w:rPr>
      </w:pPr>
    </w:p>
    <w:p w14:paraId="5CBFA96C" w14:textId="1D3A97D7" w:rsidR="00E46006" w:rsidRPr="00F70431" w:rsidRDefault="002611D0" w:rsidP="001F6288">
      <w:pPr>
        <w:pStyle w:val="Heading2"/>
        <w:keepLines w:val="0"/>
        <w:numPr>
          <w:ilvl w:val="1"/>
          <w:numId w:val="8"/>
        </w:numPr>
        <w:tabs>
          <w:tab w:val="clear" w:pos="1418"/>
        </w:tabs>
        <w:overflowPunct/>
        <w:autoSpaceDE/>
        <w:autoSpaceDN/>
        <w:adjustRightInd/>
        <w:jc w:val="both"/>
        <w:textAlignment w:val="auto"/>
      </w:pPr>
      <w:r>
        <w:t>Citizens and their local authorities</w:t>
      </w:r>
    </w:p>
    <w:p w14:paraId="7D190C8D" w14:textId="0D852760" w:rsidR="00451FEB" w:rsidRDefault="002611D0" w:rsidP="00E46006">
      <w:pPr>
        <w:rPr>
          <w:rFonts w:cs="Arial"/>
        </w:rPr>
      </w:pPr>
      <w:r w:rsidRPr="002611D0">
        <w:rPr>
          <w:rFonts w:cs="Arial"/>
        </w:rPr>
        <w:t>This section will cover the standards aspects of citizens' day-to-day interfaces with their local authorities. This will need to include issues related to their residence (residence registration, local taxation, communications from and to the local authority), and also citizens' requirements in connection with community-based initiatives, especially how these link to local authorities. It will seek to explore ways in which eGovernment standards-related initiatives can take account of citizen needs as fully as possible.</w:t>
      </w:r>
    </w:p>
    <w:p w14:paraId="4844385C" w14:textId="77777777" w:rsidR="002611D0" w:rsidRDefault="002611D0" w:rsidP="00E46006">
      <w:pPr>
        <w:rPr>
          <w:rFonts w:cs="Arial"/>
        </w:rPr>
      </w:pPr>
    </w:p>
    <w:p w14:paraId="265F63A1" w14:textId="76CCFD26" w:rsidR="002611D0" w:rsidRDefault="002611D0" w:rsidP="001F6288">
      <w:pPr>
        <w:pStyle w:val="Heading2"/>
        <w:keepLines w:val="0"/>
        <w:numPr>
          <w:ilvl w:val="1"/>
          <w:numId w:val="8"/>
        </w:numPr>
        <w:tabs>
          <w:tab w:val="clear" w:pos="1418"/>
        </w:tabs>
        <w:overflowPunct/>
        <w:autoSpaceDE/>
        <w:autoSpaceDN/>
        <w:adjustRightInd/>
        <w:jc w:val="both"/>
        <w:textAlignment w:val="auto"/>
      </w:pPr>
      <w:r w:rsidRPr="002611D0">
        <w:t xml:space="preserve">Citizens and </w:t>
      </w:r>
      <w:r>
        <w:t>their local services</w:t>
      </w:r>
    </w:p>
    <w:p w14:paraId="4F8E2CA6" w14:textId="77777777" w:rsidR="002611D0" w:rsidRPr="002611D0" w:rsidRDefault="002611D0" w:rsidP="002611D0">
      <w:r w:rsidRPr="002611D0">
        <w:t>Depending on the context in individual countries, these services may in practice be public-sector, or provided by the private sector under contract, or purely private. But the essential requirements of citizens being served are going to be the same. In the case of private sector-provided services, of course the “citizens'” interests and those of consumers will overlap.</w:t>
      </w:r>
    </w:p>
    <w:p w14:paraId="1C53CDC0" w14:textId="77777777" w:rsidR="002611D0" w:rsidRPr="002611D0" w:rsidRDefault="002611D0" w:rsidP="002611D0">
      <w:r w:rsidRPr="002611D0">
        <w:t>This section will cover, albeit at reasonably high-level, the standards aspects of citizens' day-to-day interfaces with local service providers, including:</w:t>
      </w:r>
    </w:p>
    <w:p w14:paraId="5608F260"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mobility and transport;</w:t>
      </w:r>
    </w:p>
    <w:p w14:paraId="30472C7C"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education and child-care services;</w:t>
      </w:r>
    </w:p>
    <w:p w14:paraId="35826232"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recreational services;</w:t>
      </w:r>
    </w:p>
    <w:p w14:paraId="65FDE723"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healthcare services;</w:t>
      </w:r>
    </w:p>
    <w:p w14:paraId="589914C9"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sanitation;</w:t>
      </w:r>
    </w:p>
    <w:p w14:paraId="03BF5284" w14:textId="77777777" w:rsidR="002611D0" w:rsidRPr="00A500BC"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utilities;</w:t>
      </w:r>
    </w:p>
    <w:p w14:paraId="5DCD5038" w14:textId="31DD0488" w:rsidR="002611D0" w:rsidRDefault="002611D0" w:rsidP="001F6288">
      <w:pPr>
        <w:pStyle w:val="ListParagraph"/>
        <w:numPr>
          <w:ilvl w:val="0"/>
          <w:numId w:val="13"/>
        </w:numPr>
        <w:ind w:left="567" w:hanging="567"/>
        <w:rPr>
          <w:rFonts w:ascii="Arial" w:hAnsi="Arial" w:cs="Arial"/>
          <w:sz w:val="20"/>
        </w:rPr>
      </w:pPr>
      <w:r w:rsidRPr="00A500BC">
        <w:rPr>
          <w:rFonts w:ascii="Arial" w:hAnsi="Arial" w:cs="Arial"/>
          <w:sz w:val="20"/>
        </w:rPr>
        <w:t>emergency services.</w:t>
      </w:r>
    </w:p>
    <w:p w14:paraId="0703AF2D" w14:textId="77777777" w:rsidR="00A500BC" w:rsidRPr="00A500BC" w:rsidRDefault="00A500BC" w:rsidP="00A500BC">
      <w:pPr>
        <w:pStyle w:val="ListParagraph"/>
        <w:ind w:left="567"/>
        <w:rPr>
          <w:rFonts w:ascii="Arial" w:hAnsi="Arial" w:cs="Arial"/>
          <w:sz w:val="20"/>
        </w:rPr>
      </w:pPr>
    </w:p>
    <w:p w14:paraId="288B4C03" w14:textId="12C0B0B0" w:rsidR="002611D0" w:rsidRDefault="002611D0" w:rsidP="002611D0">
      <w:r w:rsidRPr="00290DBE">
        <w:t xml:space="preserve">For </w:t>
      </w:r>
      <w:r>
        <w:t>each of these interfaces, the report will seek to examine the extent to which existing standards work takes due account of the citizens’ concerns, and, if there are shortcomings, propose ways in which the standardisation activity can overcome these.</w:t>
      </w:r>
    </w:p>
    <w:p w14:paraId="05471B05" w14:textId="77777777" w:rsidR="00A500BC" w:rsidRPr="00290DBE" w:rsidRDefault="00A500BC" w:rsidP="002611D0"/>
    <w:p w14:paraId="7A11CC2E" w14:textId="289FB83F" w:rsidR="00A500BC" w:rsidRDefault="00A500BC" w:rsidP="001F6288">
      <w:pPr>
        <w:pStyle w:val="Heading2"/>
        <w:keepLines w:val="0"/>
        <w:numPr>
          <w:ilvl w:val="1"/>
          <w:numId w:val="8"/>
        </w:numPr>
        <w:tabs>
          <w:tab w:val="clear" w:pos="1418"/>
        </w:tabs>
        <w:overflowPunct/>
        <w:autoSpaceDE/>
        <w:autoSpaceDN/>
        <w:adjustRightInd/>
        <w:jc w:val="both"/>
        <w:textAlignment w:val="auto"/>
      </w:pPr>
      <w:r>
        <w:t>Citizen indicators</w:t>
      </w:r>
    </w:p>
    <w:p w14:paraId="126C0E6C" w14:textId="77777777" w:rsidR="00A500BC" w:rsidRDefault="00A500BC" w:rsidP="00A500BC"/>
    <w:p w14:paraId="018B2E93" w14:textId="77777777" w:rsidR="00A500BC" w:rsidRDefault="00A500BC" w:rsidP="00A500BC">
      <w:r>
        <w:t xml:space="preserve">This section will cover the issue of citizen indicators. It will cross-refer to the EIP Action Cluster proposal for a citizen-focused standardization toolkit, based on a methodology that uses indicators and metrics as means to assess performance in meeting citizens’ needs, for example </w:t>
      </w:r>
      <w:proofErr w:type="spellStart"/>
      <w:r>
        <w:t>Eurocities</w:t>
      </w:r>
      <w:proofErr w:type="spellEnd"/>
      <w:r>
        <w:t>' “</w:t>
      </w:r>
      <w:proofErr w:type="spellStart"/>
      <w:r>
        <w:t>CityKeys</w:t>
      </w:r>
      <w:proofErr w:type="spellEnd"/>
      <w:r>
        <w:t>” activities, currently being specified in an ETSI ATTM project, and similar.</w:t>
      </w:r>
    </w:p>
    <w:p w14:paraId="17D2FC45" w14:textId="47A0DEAB" w:rsidR="00A500BC" w:rsidRDefault="00A500BC" w:rsidP="00A500BC">
      <w:r>
        <w:t xml:space="preserve"> </w:t>
      </w:r>
    </w:p>
    <w:p w14:paraId="1424AAC7" w14:textId="3E93EA2B" w:rsidR="00A500BC" w:rsidRDefault="00A500BC" w:rsidP="001F6288">
      <w:pPr>
        <w:pStyle w:val="Heading2"/>
        <w:keepLines w:val="0"/>
        <w:numPr>
          <w:ilvl w:val="1"/>
          <w:numId w:val="8"/>
        </w:numPr>
        <w:tabs>
          <w:tab w:val="clear" w:pos="1418"/>
        </w:tabs>
        <w:overflowPunct/>
        <w:autoSpaceDE/>
        <w:autoSpaceDN/>
        <w:adjustRightInd/>
        <w:jc w:val="both"/>
        <w:textAlignment w:val="auto"/>
      </w:pPr>
      <w:r>
        <w:t>Recommendations to standardisation</w:t>
      </w:r>
    </w:p>
    <w:p w14:paraId="4B8B5088" w14:textId="77777777" w:rsidR="00A500BC" w:rsidRDefault="00A500BC" w:rsidP="00A500BC"/>
    <w:p w14:paraId="5DB84140" w14:textId="77777777" w:rsidR="00A500BC" w:rsidRDefault="00A500BC" w:rsidP="00A500BC">
      <w:r>
        <w:t>This section will contain general and specific recommendations to the ESOs and to other standardization organizations.  It may be, for example, that the development of the TR exposes gaps in current standardisation activities, or issues relating to published standards, that merit further attention by the committees concerned.</w:t>
      </w:r>
    </w:p>
    <w:p w14:paraId="3CCFADA6" w14:textId="77777777" w:rsidR="00A500BC" w:rsidRDefault="00A500BC" w:rsidP="00A500BC"/>
    <w:p w14:paraId="00AC0D7E" w14:textId="3D3AEBE1" w:rsidR="00A500BC" w:rsidRDefault="00A500BC" w:rsidP="001F6288">
      <w:pPr>
        <w:pStyle w:val="Heading2"/>
        <w:keepLines w:val="0"/>
        <w:numPr>
          <w:ilvl w:val="1"/>
          <w:numId w:val="8"/>
        </w:numPr>
        <w:tabs>
          <w:tab w:val="clear" w:pos="1418"/>
        </w:tabs>
        <w:overflowPunct/>
        <w:autoSpaceDE/>
        <w:autoSpaceDN/>
        <w:adjustRightInd/>
        <w:jc w:val="both"/>
        <w:textAlignment w:val="auto"/>
      </w:pPr>
      <w:r>
        <w:t>Other relevant issues</w:t>
      </w:r>
    </w:p>
    <w:p w14:paraId="1877EAA9" w14:textId="77777777" w:rsidR="00A500BC" w:rsidRDefault="00A500BC" w:rsidP="00A500BC"/>
    <w:p w14:paraId="31189CA8" w14:textId="638E5B0F" w:rsidR="002611D0" w:rsidRPr="002611D0" w:rsidRDefault="00A500BC" w:rsidP="00A500BC">
      <w:r>
        <w:t>Finally, the TR will note any relevant aspects not related to standardization, and which entity ought to address those aspects.</w:t>
      </w:r>
    </w:p>
    <w:p w14:paraId="12B720A3" w14:textId="782B51FA" w:rsidR="002611D0" w:rsidRDefault="002611D0" w:rsidP="002611D0">
      <w:pPr>
        <w:rPr>
          <w:rFonts w:eastAsia="ArialMT"/>
          <w:color w:val="000000"/>
          <w:sz w:val="22"/>
          <w:szCs w:val="22"/>
        </w:rPr>
      </w:pPr>
    </w:p>
    <w:p w14:paraId="165E7320" w14:textId="77777777" w:rsidR="00E46006" w:rsidRDefault="00E46006" w:rsidP="001F6288">
      <w:pPr>
        <w:pStyle w:val="Heading1"/>
        <w:keepLines w:val="0"/>
        <w:numPr>
          <w:ilvl w:val="0"/>
          <w:numId w:val="8"/>
        </w:numPr>
        <w:tabs>
          <w:tab w:val="clear" w:pos="1418"/>
        </w:tabs>
        <w:overflowPunct/>
        <w:autoSpaceDE/>
        <w:autoSpaceDN/>
        <w:adjustRightInd/>
        <w:ind w:left="567" w:hanging="567"/>
        <w:jc w:val="both"/>
        <w:textAlignment w:val="auto"/>
      </w:pPr>
      <w:r>
        <w:t>Market impact</w:t>
      </w:r>
    </w:p>
    <w:p w14:paraId="7E8CFBF2" w14:textId="44D05DE7" w:rsidR="00A500BC" w:rsidRDefault="00A500BC" w:rsidP="00A500BC">
      <w:pPr>
        <w:tabs>
          <w:tab w:val="clear" w:pos="1418"/>
          <w:tab w:val="clear" w:pos="4678"/>
          <w:tab w:val="clear" w:pos="5954"/>
          <w:tab w:val="clear" w:pos="7088"/>
        </w:tabs>
        <w:overflowPunct/>
        <w:autoSpaceDE/>
        <w:autoSpaceDN/>
        <w:adjustRightInd/>
        <w:jc w:val="left"/>
        <w:textAlignment w:val="auto"/>
      </w:pPr>
      <w:r>
        <w:t xml:space="preserve">The present proposal will have a wide impact, by providing an invaluable single overview of citizen requirements related to smart and sustainable cities and communities. There is a wide range of potential beneficiaries, whether these be in cities - whose understanding of standards and of standardisation processes is at present inevitably generally very limited - or industry, which will find it beneficial to be given a clear understanding of these issues.  </w:t>
      </w:r>
    </w:p>
    <w:p w14:paraId="08AF3512" w14:textId="77777777" w:rsidR="00A500BC" w:rsidRDefault="00A500BC" w:rsidP="00A500BC">
      <w:pPr>
        <w:tabs>
          <w:tab w:val="clear" w:pos="1418"/>
          <w:tab w:val="clear" w:pos="4678"/>
          <w:tab w:val="clear" w:pos="5954"/>
          <w:tab w:val="clear" w:pos="7088"/>
        </w:tabs>
        <w:overflowPunct/>
        <w:autoSpaceDE/>
        <w:autoSpaceDN/>
        <w:adjustRightInd/>
        <w:jc w:val="left"/>
        <w:textAlignment w:val="auto"/>
      </w:pPr>
    </w:p>
    <w:p w14:paraId="01AA779E" w14:textId="1830BF01" w:rsidR="00A500BC" w:rsidRDefault="00A500BC" w:rsidP="00A500BC">
      <w:pPr>
        <w:tabs>
          <w:tab w:val="clear" w:pos="1418"/>
          <w:tab w:val="clear" w:pos="4678"/>
          <w:tab w:val="clear" w:pos="5954"/>
          <w:tab w:val="clear" w:pos="7088"/>
        </w:tabs>
        <w:overflowPunct/>
        <w:autoSpaceDE/>
        <w:autoSpaceDN/>
        <w:adjustRightInd/>
        <w:jc w:val="left"/>
        <w:textAlignment w:val="auto"/>
      </w:pPr>
      <w:r>
        <w:t xml:space="preserve">The Report will also prove invaluable in terms of improving the understanding of standards practitioners. Consumer (or indeed “end-user”) representatives are seldom able to be present in standards committees, given the industrial background of these committees. Technical practitioners need a much-improved understanding of the needs of citizens, to avoid solutions that at worst simply ignore those needs, and at best may not be user-friendly solutions.   </w:t>
      </w:r>
    </w:p>
    <w:p w14:paraId="211C51D2" w14:textId="77777777" w:rsidR="00A500BC" w:rsidRDefault="00A500BC" w:rsidP="00A500BC">
      <w:pPr>
        <w:tabs>
          <w:tab w:val="clear" w:pos="1418"/>
          <w:tab w:val="clear" w:pos="4678"/>
          <w:tab w:val="clear" w:pos="5954"/>
          <w:tab w:val="clear" w:pos="7088"/>
        </w:tabs>
        <w:overflowPunct/>
        <w:autoSpaceDE/>
        <w:autoSpaceDN/>
        <w:adjustRightInd/>
        <w:jc w:val="left"/>
        <w:textAlignment w:val="auto"/>
      </w:pPr>
    </w:p>
    <w:p w14:paraId="03BB8FE4" w14:textId="7DF4109B" w:rsidR="00A500BC" w:rsidRDefault="00A500BC" w:rsidP="00A500BC">
      <w:pPr>
        <w:tabs>
          <w:tab w:val="clear" w:pos="1418"/>
          <w:tab w:val="clear" w:pos="4678"/>
          <w:tab w:val="clear" w:pos="5954"/>
          <w:tab w:val="clear" w:pos="7088"/>
        </w:tabs>
        <w:overflowPunct/>
        <w:autoSpaceDE/>
        <w:autoSpaceDN/>
        <w:adjustRightInd/>
        <w:jc w:val="left"/>
        <w:textAlignment w:val="auto"/>
      </w:pPr>
      <w:r>
        <w:t>Furthermore, “horizontal” issues such as data protection and privacy, security or accessibility tend to be standardised (if at all) in dedicated expert groups. Standards committees dealing with specific applications are frequently unaware of the detailed activities of such dedicated groups; worse still, where they are given a specific requirement to address aspects of these “horizontal” issues, they may not be willing to wait for an overall solution but will seek to develop their own approach. This enhances fragmentation and potentially conflicting approaches.</w:t>
      </w:r>
    </w:p>
    <w:p w14:paraId="172DF8FB" w14:textId="77777777" w:rsidR="00A500BC" w:rsidRDefault="00A500BC" w:rsidP="00A500BC">
      <w:pPr>
        <w:tabs>
          <w:tab w:val="clear" w:pos="1418"/>
          <w:tab w:val="clear" w:pos="4678"/>
          <w:tab w:val="clear" w:pos="5954"/>
          <w:tab w:val="clear" w:pos="7088"/>
        </w:tabs>
        <w:overflowPunct/>
        <w:autoSpaceDE/>
        <w:autoSpaceDN/>
        <w:adjustRightInd/>
        <w:jc w:val="left"/>
        <w:textAlignment w:val="auto"/>
      </w:pPr>
    </w:p>
    <w:p w14:paraId="4D8BC6BE" w14:textId="1CC8DEA3" w:rsidR="00A500BC" w:rsidRDefault="00A500BC" w:rsidP="00A500BC">
      <w:pPr>
        <w:tabs>
          <w:tab w:val="clear" w:pos="1418"/>
          <w:tab w:val="clear" w:pos="4678"/>
          <w:tab w:val="clear" w:pos="5954"/>
          <w:tab w:val="clear" w:pos="7088"/>
        </w:tabs>
        <w:overflowPunct/>
        <w:autoSpaceDE/>
        <w:autoSpaceDN/>
        <w:adjustRightInd/>
        <w:jc w:val="left"/>
        <w:textAlignment w:val="auto"/>
      </w:pPr>
      <w:r>
        <w:t>The proposed Report will provide a focal point for the wider understanding of these requirements.  A successful publication will also have some potential spin-off in other domains, for example, extending the report to cover citizen requirements in other domains such as the Internet of Things to support the ongoing standardisation convergence in IoT for Smart Cities &amp; Communities (IoT4SCC). Especially the EU IoT Large Scale Pilots and their open calls piloting should be useful for emerging standardisation and its validation in this domain. IoT and SCC are brought together in particular by “</w:t>
      </w:r>
      <w:proofErr w:type="spellStart"/>
      <w:r>
        <w:t>SynchroniCity</w:t>
      </w:r>
      <w:proofErr w:type="spellEnd"/>
      <w:r>
        <w:t xml:space="preserve">: Delivering an </w:t>
      </w:r>
      <w:proofErr w:type="spellStart"/>
      <w:r>
        <w:t>IoT</w:t>
      </w:r>
      <w:proofErr w:type="spellEnd"/>
      <w:r>
        <w:t xml:space="preserve"> enabled Digital Single Market for Europe and beyond”.</w:t>
      </w:r>
    </w:p>
    <w:p w14:paraId="6111CBEF" w14:textId="77777777" w:rsidR="00A500BC" w:rsidRDefault="00A500BC" w:rsidP="00A500BC">
      <w:pPr>
        <w:tabs>
          <w:tab w:val="clear" w:pos="1418"/>
          <w:tab w:val="clear" w:pos="4678"/>
          <w:tab w:val="clear" w:pos="5954"/>
          <w:tab w:val="clear" w:pos="7088"/>
        </w:tabs>
        <w:overflowPunct/>
        <w:autoSpaceDE/>
        <w:autoSpaceDN/>
        <w:adjustRightInd/>
        <w:jc w:val="left"/>
        <w:textAlignment w:val="auto"/>
      </w:pPr>
    </w:p>
    <w:p w14:paraId="4E834B11" w14:textId="23FB1771" w:rsidR="006A5009" w:rsidRDefault="00A500BC" w:rsidP="00A500BC">
      <w:pPr>
        <w:tabs>
          <w:tab w:val="clear" w:pos="1418"/>
          <w:tab w:val="clear" w:pos="4678"/>
          <w:tab w:val="clear" w:pos="5954"/>
          <w:tab w:val="clear" w:pos="7088"/>
        </w:tabs>
        <w:overflowPunct/>
        <w:autoSpaceDE/>
        <w:autoSpaceDN/>
        <w:adjustRightInd/>
        <w:jc w:val="left"/>
        <w:textAlignment w:val="auto"/>
      </w:pPr>
      <w:r>
        <w:t xml:space="preserve">If the proposed work is not carried out, then the current fragmented understanding of citizen issues in the smart city context will continue.  The synergies being sought from an integrated approach to smart and sustainable city and community standards issues would be considerably reduced by the continuation of a silo-based approach from the individual standardisation committees involved with specific applications.  </w:t>
      </w:r>
    </w:p>
    <w:p w14:paraId="172DC570" w14:textId="77777777" w:rsidR="00E46006" w:rsidRDefault="00E46006" w:rsidP="00E46006"/>
    <w:p w14:paraId="116A606A" w14:textId="2FFCE10A" w:rsidR="00E46006" w:rsidRDefault="00E46006" w:rsidP="00E46006">
      <w:pPr>
        <w:spacing w:before="240"/>
        <w:rPr>
          <w:b/>
          <w:sz w:val="28"/>
          <w:u w:val="single"/>
        </w:rPr>
      </w:pPr>
      <w:r w:rsidRPr="00795A5C">
        <w:rPr>
          <w:b/>
          <w:sz w:val="28"/>
          <w:u w:val="single"/>
        </w:rPr>
        <w:t>Part II – Execution of the work</w:t>
      </w:r>
    </w:p>
    <w:p w14:paraId="13520FCE" w14:textId="77777777" w:rsidR="006A5009" w:rsidRPr="008207D1" w:rsidRDefault="006A5009" w:rsidP="00E46006">
      <w:pPr>
        <w:spacing w:before="240"/>
        <w:rPr>
          <w:b/>
          <w:sz w:val="24"/>
          <w:szCs w:val="24"/>
          <w:u w:val="single"/>
        </w:rPr>
      </w:pPr>
    </w:p>
    <w:p w14:paraId="39018A84"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795A5C">
        <w:t>Working method / approach</w:t>
      </w:r>
    </w:p>
    <w:p w14:paraId="0B2BB2C9" w14:textId="77777777" w:rsidR="00E46006" w:rsidRPr="00877108" w:rsidRDefault="00E46006" w:rsidP="001F6288">
      <w:pPr>
        <w:pStyle w:val="Heading2"/>
        <w:keepLines w:val="0"/>
        <w:numPr>
          <w:ilvl w:val="1"/>
          <w:numId w:val="8"/>
        </w:numPr>
        <w:tabs>
          <w:tab w:val="clear" w:pos="1418"/>
        </w:tabs>
        <w:overflowPunct/>
        <w:autoSpaceDE/>
        <w:autoSpaceDN/>
        <w:adjustRightInd/>
        <w:textAlignment w:val="auto"/>
      </w:pPr>
      <w:r w:rsidRPr="00877108">
        <w:t>Specialist Task Force (STF)</w:t>
      </w:r>
    </w:p>
    <w:p w14:paraId="2DD70867" w14:textId="472A86A1" w:rsidR="002F5456" w:rsidRDefault="002F5456" w:rsidP="002F5456">
      <w:r>
        <w:t>This action to develop an ETSI TR will be performed by an ETSI Specialist Task Force (STF) reporting to and monitored by ETSI TC Human Factors (TC HF).  TC HF has a long experience of managing this type of activity, given that the overall activities it covers are by definition of importance for societal stakeholders, including consumers and those with accessibility requirements.</w:t>
      </w:r>
    </w:p>
    <w:p w14:paraId="457BAA20" w14:textId="77777777" w:rsidR="002F5456" w:rsidRDefault="002F5456" w:rsidP="002F5456"/>
    <w:p w14:paraId="2D6A286B" w14:textId="32211899" w:rsidR="002F5456" w:rsidRDefault="002F5456" w:rsidP="002F5456">
      <w:r>
        <w:t>In particular, the STF will enable the necessary research and consultation to be carried out to the fullest extent possible. The overall reach of the matters relating to smart cities is broad, and the issues affect potentially a very wide range of stakeholders, whether these are in the standard setting domain or are potential standards users with needs to address.</w:t>
      </w:r>
    </w:p>
    <w:p w14:paraId="3AB96F2A" w14:textId="77777777" w:rsidR="002F5456" w:rsidRDefault="002F5456" w:rsidP="002F5456"/>
    <w:p w14:paraId="5C9D51E8" w14:textId="548B774E" w:rsidR="002F5456" w:rsidRDefault="002F5456" w:rsidP="002F5456">
      <w:r>
        <w:t xml:space="preserve">On formation, the STF will prepare its detailed work plan, to cover the entire period of the activity, for approval by TC HF. Initial activities will comprise the creation of the content for a dedicated website, to be hosted by ETSI, with links to smart city resources, including in particular to the European Innovation Partnership on Smart Cities &amp; Communities (EIP-SCC), the Open &amp; Agile Smart Cities (OASC), and the </w:t>
      </w:r>
      <w:r>
        <w:lastRenderedPageBreak/>
        <w:t>EU Urban Agenda Digital Transition Partnership.  The website will be launched with a broad promotion exercise.</w:t>
      </w:r>
    </w:p>
    <w:p w14:paraId="056CCC72" w14:textId="77777777" w:rsidR="002F5456" w:rsidRDefault="002F5456" w:rsidP="002F5456"/>
    <w:p w14:paraId="1A5C2499" w14:textId="70D2FBF0" w:rsidR="002F5456" w:rsidRDefault="002F5456" w:rsidP="002F5456">
      <w:r>
        <w:t>The STF will actively consult ETSI Technical Committees and ISGs/Workshops and other standardisation groups in CEN and CENELEC that are concerned about smart city issues and related technological areas with a possible impact on smart cities developments.  Within ETSI, there needs to be at minimum involvement of the User Group, TC Smart M2M (including the IoT aspects) and possibly the M2M Partnership, with the ETSI ATTM work on Sustainable Digital Multiservice for Cities, the ISG CIM on Context Information Management, and the ISG CDP on City Digital Profile. Within CEN and CENELEC, although there is no committee wholly or even mainly involved with these issues, several different TCs responded to an SSCC-CG questionnaire that they had at least some specific interests in smart city issues, sometimes on topics where consumer inputs would be desirable, and these committees will all be consulted. There is also a recently-formed CEN Workshop on “Good Practices for Smart City Solutions” with which the STF will coordinate.</w:t>
      </w:r>
    </w:p>
    <w:p w14:paraId="69182A49" w14:textId="77777777" w:rsidR="002F5456" w:rsidRDefault="002F5456" w:rsidP="002F5456"/>
    <w:p w14:paraId="5BF4C9F6" w14:textId="068A123E" w:rsidR="002F5456" w:rsidRDefault="002F5456" w:rsidP="002F5456">
      <w:r>
        <w:t>The STF will also seek the active involvement of the cities themselves, including through their own networks, for example EUROCITIES and global Open &amp; Agile Smart Cities, in the preparation of the report.  One particular challenge to the adoption of standards in relation to smart cities is the generally low level of understanding and hence participation by cities and other local communities in standards processes - this may be seen as an obstacle also to the proper reflection of citizen requirements in the standards themselves, which in turn may become too driven by technological issues.</w:t>
      </w:r>
    </w:p>
    <w:p w14:paraId="79EA9A47" w14:textId="77777777" w:rsidR="002F5456" w:rsidRDefault="002F5456" w:rsidP="002F5456"/>
    <w:p w14:paraId="58F4CE0A" w14:textId="57F1B0CE" w:rsidR="002F5456" w:rsidRDefault="002F5456" w:rsidP="002F5456">
      <w:r>
        <w:t>Whilst the TR itself will be important to promote the benefits of standards, the prior involvement of cities and communities will be sought in particular through the stakeholder communities in cities, through the EIP and other European-level smart city-related initiatives in which they are participating, as well as, if possible, through the wider contacts of these initiatives, as well as open comment invitations on the internet.  This outreach will itself help considerably to improve understanding and awareness of the benefits of standardisation within this stakeholder community.</w:t>
      </w:r>
    </w:p>
    <w:p w14:paraId="6E18BACE" w14:textId="77777777" w:rsidR="002F5456" w:rsidRDefault="002F5456" w:rsidP="002F5456"/>
    <w:p w14:paraId="42913025" w14:textId="31FA16B6" w:rsidR="002F5456" w:rsidRDefault="002F5456" w:rsidP="002F5456">
      <w:r>
        <w:t>Each of these consultations will include questionnaires, to be designed by the STF, concerning the requirements of citizens. For the TCs and other interested groups within the three ESOs, the exercise will also endeavour to establish the extent of awareness of the issues explored, for other stakeholders to validate and enhance the propositions set out in section 3 above.</w:t>
      </w:r>
    </w:p>
    <w:p w14:paraId="624605FA" w14:textId="77777777" w:rsidR="002F5456" w:rsidRDefault="002F5456" w:rsidP="002F5456"/>
    <w:p w14:paraId="56F0E577" w14:textId="298842F4" w:rsidR="002F5456" w:rsidRDefault="002F5456" w:rsidP="002F5456">
      <w:r>
        <w:t>The STF will hold up to two web-based workshops, one to present the questionnaires and, if necessary, a second one dedicated to obtaining initial feedback on the overall issues.</w:t>
      </w:r>
    </w:p>
    <w:p w14:paraId="6B7D545E" w14:textId="77777777" w:rsidR="002F5456" w:rsidRDefault="002F5456" w:rsidP="002F5456"/>
    <w:p w14:paraId="64614529" w14:textId="06B005C6" w:rsidR="006A5009" w:rsidRDefault="002F5456" w:rsidP="002F5456">
      <w:r>
        <w:t>Using the questionnaire results, the STF will prepare a first draft of the Report for endorsement by TC HF and subsequent discussion in the face-to-face workshop mentioned in the following section, and submit the draft to public comment.  Finally, it will prepare resolution of comments for consideration by TC HF and others involved.</w:t>
      </w:r>
    </w:p>
    <w:p w14:paraId="29DA241E" w14:textId="77777777" w:rsidR="002F5456" w:rsidRDefault="002F5456" w:rsidP="002F5456"/>
    <w:p w14:paraId="36A4888A" w14:textId="77777777" w:rsidR="00E46006" w:rsidRPr="00E60B3F" w:rsidRDefault="00E46006" w:rsidP="001F6288">
      <w:pPr>
        <w:pStyle w:val="Heading2"/>
        <w:keepLines w:val="0"/>
        <w:numPr>
          <w:ilvl w:val="1"/>
          <w:numId w:val="8"/>
        </w:numPr>
        <w:tabs>
          <w:tab w:val="clear" w:pos="1418"/>
        </w:tabs>
        <w:overflowPunct/>
        <w:autoSpaceDE/>
        <w:autoSpaceDN/>
        <w:adjustRightInd/>
        <w:textAlignment w:val="auto"/>
      </w:pPr>
      <w:r w:rsidRPr="00E60B3F">
        <w:t>Other types of activity than STFs</w:t>
      </w:r>
    </w:p>
    <w:p w14:paraId="50D572A5" w14:textId="4797D199" w:rsidR="002F5456" w:rsidRDefault="002F5456" w:rsidP="002F5456">
      <w:r>
        <w:t>The STF will establish a broadly-constituted Steering Group, acting on a voluntary basis, open to all interested parties (including ETSI members), to interface with the STF and external stakeholders and to carry out the overall day-to-day management of the activity, including overall performance as specified in the following section of this proposal.  The Steering Group will be established with the support of ETSI TC HF, but of necessity will need to have wider participation. ETSI TC HF will endorse the Terms of Reference and will provide the Chair of the Steering Group. The STF Leader will act as Steering Group Secretary.  The Steering Group will be closed on completion of the proposed TR.</w:t>
      </w:r>
    </w:p>
    <w:p w14:paraId="2650C4D5" w14:textId="77777777" w:rsidR="002F5456" w:rsidRDefault="002F5456" w:rsidP="002F5456"/>
    <w:p w14:paraId="5A742A12" w14:textId="77777777" w:rsidR="002F5456" w:rsidRDefault="002F5456" w:rsidP="002F5456">
      <w:r>
        <w:t>The participation of the Steering Group will be established by ETSI HF, in close consultation with the CEN-CENELEC-ETSI Smart Cities and Communities Sector Forum (SSCC-SF) - the successor to the former Smart Cities and Communities Co-ordination Group.  The Steering Group will meet as far as possible on a virtual basis, although one or more physical meetings may be required.</w:t>
      </w:r>
    </w:p>
    <w:p w14:paraId="279C0D98" w14:textId="2716CF7F" w:rsidR="002F5456" w:rsidRDefault="002F5456" w:rsidP="002F5456"/>
    <w:p w14:paraId="28C2380B" w14:textId="77777777" w:rsidR="002F5456" w:rsidRDefault="002F5456" w:rsidP="002F5456">
      <w:r>
        <w:t xml:space="preserve">Moreover, since standards issues related to smart cities and communities are of interest to all three ESOs, the preparation of the TR needs to be done in close collaboration with CEN and CENELEC. This will be achieved through extensive interchange with the SSCC-SF. The Steering Group will consult this </w:t>
      </w:r>
      <w:r>
        <w:lastRenderedPageBreak/>
        <w:t>at each stage in the project. In addition, all three international standardisation bodies have activities related to smart cities and communities, - ISO (TC268), IEC (including a World Smart City Forum), ISO-IEC JTC1 and ITU-T (SG20 and its FG DPM): the Reference Group will establish contact with these through telephone, e-mail and face-to-face meetings as appropriate, including through the SSCC-SF, where these activities are represented. The Steering Group will also consult the European Commission's Multi-Stakeholder Platform on ICT standardisation at appropriate points, and this will permit contact with those ICT standards consortia active in the MSP and with an interest in the smart cities subject-matter.</w:t>
      </w:r>
    </w:p>
    <w:p w14:paraId="3DECBDD6" w14:textId="20C141D9" w:rsidR="002F5456" w:rsidRDefault="002F5456" w:rsidP="002F5456">
      <w:r>
        <w:t>Consultation with consumer representative bodies is also essential, and the Steering Group will ensure regular consultation with the membership of ANEC, with ISO/COPOLCO, and with other relevant organisations such as the European Disability Forum.  EUROCITIES will also be consulted, as this forum is seeking to address relationships between cities and their citizens. AIOTI will be brought into the picture also.</w:t>
      </w:r>
    </w:p>
    <w:p w14:paraId="3107D42F" w14:textId="77777777" w:rsidR="002F5456" w:rsidRDefault="002F5456" w:rsidP="002F5456"/>
    <w:p w14:paraId="3E3B8B4A" w14:textId="2BB7E5EB" w:rsidR="002F5456" w:rsidRDefault="002F5456" w:rsidP="002F5456">
      <w:r>
        <w:t>In consultation with the Steering Group, the STF will organise, together with the ETSI Secretariat, an open meeting to be held in Sophia Antipolis or Brussels to consider the structure and content of a draft TR and obtain stakeholder feedback and comments, to be incorporated in the final draft for the formal approval process.  The stakeholders that have contributed to the initial requirements-setting process will be invited, together with representatives of the European Commission, EFTA, the ESOs and international standards bodies.</w:t>
      </w:r>
    </w:p>
    <w:p w14:paraId="48FC28A9" w14:textId="77777777" w:rsidR="002F5456" w:rsidRDefault="002F5456" w:rsidP="002F5456"/>
    <w:p w14:paraId="2CF64CD3" w14:textId="2B04A7DB" w:rsidR="006A5009" w:rsidRDefault="002F5456" w:rsidP="002F5456">
      <w:r>
        <w:t>The Steering Group will endorse the changes to the report proposed by the STF following the open meeting and on-line public comments, and subsequently to be approved by TC HF under the usual ETSI procedures.</w:t>
      </w:r>
    </w:p>
    <w:p w14:paraId="6CA839CB" w14:textId="77777777" w:rsidR="002F5456" w:rsidRDefault="002F5456" w:rsidP="002F5456"/>
    <w:p w14:paraId="2B3EB402" w14:textId="77777777" w:rsidR="00E46006" w:rsidRPr="00E60B3F" w:rsidRDefault="00E46006" w:rsidP="001F6288">
      <w:pPr>
        <w:pStyle w:val="Heading2"/>
        <w:keepLines w:val="0"/>
        <w:numPr>
          <w:ilvl w:val="1"/>
          <w:numId w:val="8"/>
        </w:numPr>
        <w:tabs>
          <w:tab w:val="clear" w:pos="1418"/>
        </w:tabs>
        <w:overflowPunct/>
        <w:autoSpaceDE/>
        <w:autoSpaceDN/>
        <w:adjustRightInd/>
        <w:jc w:val="both"/>
        <w:textAlignment w:val="auto"/>
      </w:pPr>
      <w:r w:rsidRPr="00E60B3F">
        <w:t>Expert</w:t>
      </w:r>
      <w:r>
        <w:t>i</w:t>
      </w:r>
      <w:r w:rsidRPr="00E60B3F">
        <w:t>s</w:t>
      </w:r>
      <w:r>
        <w:t>e</w:t>
      </w:r>
      <w:r w:rsidRPr="00E60B3F">
        <w:t xml:space="preserve"> </w:t>
      </w:r>
      <w:r>
        <w:t>required, (</w:t>
      </w:r>
      <w:r w:rsidRPr="00E60B3F">
        <w:t>qualification required, mix of skills</w:t>
      </w:r>
      <w:r>
        <w:t>)</w:t>
      </w:r>
    </w:p>
    <w:p w14:paraId="61B344D6" w14:textId="77777777" w:rsidR="002F5456" w:rsidRPr="002F5456" w:rsidRDefault="002F5456" w:rsidP="002F5456">
      <w:r w:rsidRPr="002F5456">
        <w:t>The STF will be composed of up to four experts, with one appointed as STF leader.  One (the same individual or a different one depending on selected aptitudes and experience) will act as Editor of the Report, and will be therefore expected to be experienced in drafting consensus reports in concise and correct English, and amending them to take account of stakeholder comments.</w:t>
      </w:r>
    </w:p>
    <w:p w14:paraId="3564A833" w14:textId="77777777" w:rsidR="002F5456" w:rsidRPr="002F5456" w:rsidRDefault="002F5456" w:rsidP="002F5456">
      <w:r w:rsidRPr="002F5456">
        <w:t>Overall, the STF members recruited will need to have: a good general understanding of smart cities and communities.  They should together possess:</w:t>
      </w:r>
    </w:p>
    <w:p w14:paraId="719579ED" w14:textId="77777777" w:rsidR="002F5456" w:rsidRPr="002F5456" w:rsidRDefault="002F5456" w:rsidP="001F6288">
      <w:pPr>
        <w:pStyle w:val="ListParagraph"/>
        <w:numPr>
          <w:ilvl w:val="0"/>
          <w:numId w:val="13"/>
        </w:numPr>
        <w:ind w:left="567" w:hanging="567"/>
        <w:rPr>
          <w:rFonts w:ascii="Arial" w:hAnsi="Arial" w:cs="Arial"/>
          <w:sz w:val="20"/>
        </w:rPr>
      </w:pPr>
      <w:r w:rsidRPr="002F5456">
        <w:rPr>
          <w:rFonts w:ascii="Arial" w:hAnsi="Arial" w:cs="Arial"/>
          <w:sz w:val="20"/>
        </w:rPr>
        <w:t>considerable knowledge and understanding of consumer issues in the standardisation environment, including the tensions between these requirements and the objectives of technical stakeholders, and of the overall standardisation landscape;</w:t>
      </w:r>
    </w:p>
    <w:p w14:paraId="0E736B4B" w14:textId="77777777" w:rsidR="002F5456" w:rsidRPr="002F5456" w:rsidRDefault="002F5456" w:rsidP="001F6288">
      <w:pPr>
        <w:pStyle w:val="ListParagraph"/>
        <w:numPr>
          <w:ilvl w:val="0"/>
          <w:numId w:val="13"/>
        </w:numPr>
        <w:ind w:left="567" w:hanging="567"/>
        <w:rPr>
          <w:rFonts w:ascii="Arial" w:hAnsi="Arial" w:cs="Arial"/>
          <w:sz w:val="20"/>
        </w:rPr>
      </w:pPr>
      <w:r w:rsidRPr="002F5456">
        <w:rPr>
          <w:rFonts w:ascii="Arial" w:hAnsi="Arial" w:cs="Arial"/>
          <w:sz w:val="20"/>
        </w:rPr>
        <w:t>a knowledge of the smart city advantages for community management in the interests of citizens in specific areas, for example:</w:t>
      </w:r>
    </w:p>
    <w:p w14:paraId="7CE7C8D3"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governance, empowerment and engagement;</w:t>
      </w:r>
    </w:p>
    <w:p w14:paraId="631049C6"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 xml:space="preserve">education and capacity-building; </w:t>
      </w:r>
    </w:p>
    <w:p w14:paraId="02EB2C57"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 xml:space="preserve">health and care in the community; </w:t>
      </w:r>
    </w:p>
    <w:p w14:paraId="1310BF4E"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 xml:space="preserve">culture and community identity; </w:t>
      </w:r>
    </w:p>
    <w:p w14:paraId="0487C193"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 xml:space="preserve">living together, independence and mutuality; </w:t>
      </w:r>
    </w:p>
    <w:p w14:paraId="6719CB4A" w14:textId="77777777" w:rsidR="002F5456" w:rsidRPr="002F5456" w:rsidRDefault="002F5456" w:rsidP="001F6288">
      <w:pPr>
        <w:pStyle w:val="ListParagraph"/>
        <w:numPr>
          <w:ilvl w:val="1"/>
          <w:numId w:val="13"/>
        </w:numPr>
        <w:rPr>
          <w:rFonts w:ascii="Arial" w:hAnsi="Arial" w:cs="Arial"/>
          <w:sz w:val="20"/>
        </w:rPr>
      </w:pPr>
      <w:r w:rsidRPr="002F5456">
        <w:rPr>
          <w:rFonts w:ascii="Arial" w:hAnsi="Arial" w:cs="Arial"/>
          <w:sz w:val="20"/>
        </w:rPr>
        <w:t>smart community infrastructures.</w:t>
      </w:r>
    </w:p>
    <w:p w14:paraId="6398BA23" w14:textId="685F664E" w:rsidR="002F5456" w:rsidRDefault="002F5456" w:rsidP="001F6288">
      <w:pPr>
        <w:pStyle w:val="ListParagraph"/>
        <w:numPr>
          <w:ilvl w:val="1"/>
          <w:numId w:val="13"/>
        </w:numPr>
        <w:rPr>
          <w:rFonts w:ascii="Arial" w:hAnsi="Arial" w:cs="Arial"/>
          <w:sz w:val="20"/>
        </w:rPr>
      </w:pPr>
      <w:r w:rsidRPr="002F5456">
        <w:rPr>
          <w:rFonts w:ascii="Arial" w:hAnsi="Arial" w:cs="Arial"/>
          <w:sz w:val="20"/>
        </w:rPr>
        <w:t>capability to translate these issues into clear concise text.</w:t>
      </w:r>
    </w:p>
    <w:p w14:paraId="2EE4BF84" w14:textId="77777777" w:rsidR="002F5456" w:rsidRPr="002F5456" w:rsidRDefault="002F5456" w:rsidP="002F5456">
      <w:pPr>
        <w:pStyle w:val="ListParagraph"/>
        <w:ind w:left="1080"/>
        <w:rPr>
          <w:rFonts w:ascii="Arial" w:hAnsi="Arial" w:cs="Arial"/>
          <w:sz w:val="20"/>
        </w:rPr>
      </w:pPr>
    </w:p>
    <w:p w14:paraId="7529ABE6" w14:textId="6681777B" w:rsidR="002F5456" w:rsidRDefault="002F5456" w:rsidP="002F5456">
      <w:r w:rsidRPr="002F5456">
        <w:t>It would be advantageous for the team to have an understanding of the problems posed for citizens in terms of data security, data protection and privacy, and accessibility issues.</w:t>
      </w:r>
    </w:p>
    <w:p w14:paraId="0FD1AA6A" w14:textId="77777777" w:rsidR="002F5456" w:rsidRPr="002F5456" w:rsidRDefault="002F5456" w:rsidP="002F5456"/>
    <w:p w14:paraId="45E0778E" w14:textId="77777777" w:rsidR="00E46006" w:rsidRPr="00FA2920" w:rsidRDefault="00E46006" w:rsidP="001F6288">
      <w:pPr>
        <w:pStyle w:val="Heading2"/>
        <w:keepLines w:val="0"/>
        <w:numPr>
          <w:ilvl w:val="1"/>
          <w:numId w:val="8"/>
        </w:numPr>
        <w:tabs>
          <w:tab w:val="clear" w:pos="1418"/>
        </w:tabs>
        <w:overflowPunct/>
        <w:autoSpaceDE/>
        <w:autoSpaceDN/>
        <w:adjustRightInd/>
        <w:jc w:val="both"/>
        <w:textAlignment w:val="auto"/>
      </w:pPr>
      <w:r>
        <w:t>Previous</w:t>
      </w:r>
      <w:r w:rsidRPr="00FA2920">
        <w:t xml:space="preserve"> work</w:t>
      </w:r>
    </w:p>
    <w:p w14:paraId="6F48699A" w14:textId="7E5A0085" w:rsidR="002F5456" w:rsidRDefault="002F5456" w:rsidP="00481289">
      <w:r w:rsidRPr="002F5456">
        <w:t>Standardisation in the domain of smart cities and communities is in effect a new discipline.  There exist, or are under development, very few dedicated standards in this domain – these relate mainly to terminology or city management matters.  On the other hand, the standards essential to the smart city and community come from multiple domains; these standards are seldom developed with the interests of the city in mind but are driven by technological and/or commercial requirements.  The rapid development of Internet of Things standardisation will also impact smart cities, and citizen concerns are particularly critical in that context. Consequentially, the basic objective of the report is to improve awareness of citizen-specific issues, to encourage future standardisation to take them into proper account.</w:t>
      </w:r>
    </w:p>
    <w:p w14:paraId="5DD2EC45" w14:textId="77777777" w:rsidR="00481289" w:rsidRPr="002F5456" w:rsidRDefault="00481289" w:rsidP="00481289"/>
    <w:p w14:paraId="480838FF" w14:textId="2D7BDD25" w:rsidR="002F5456" w:rsidRDefault="002F5456" w:rsidP="00481289">
      <w:r w:rsidRPr="002F5456">
        <w:lastRenderedPageBreak/>
        <w:t>Whilst no current “smart citizen” standards activities in this domain are known, all three ESOs have activities that are potentially strongly relevant to the “smart citizen”, for example matters such as data protection and privacy. AIOTI is also seeking to reference citizen requirements in the IoT context, and increasingly aspects of that will be of relevance to the smart city and its residents.</w:t>
      </w:r>
    </w:p>
    <w:p w14:paraId="03DF9389" w14:textId="77777777" w:rsidR="00481289" w:rsidRPr="002F5456" w:rsidRDefault="00481289" w:rsidP="00481289"/>
    <w:p w14:paraId="2484FAAE" w14:textId="77777777" w:rsidR="00481289" w:rsidRDefault="002F5456" w:rsidP="00481289">
      <w:r w:rsidRPr="002F5456">
        <w:t>Overall the work proposed appears to be ground-breaking by relating the specific citizen requirements to such ongoing activities. As noted above, the action proposal is included within the Commission’s Rolling Action Plan on ICT Standardisation.</w:t>
      </w:r>
    </w:p>
    <w:p w14:paraId="79517D07" w14:textId="77777777" w:rsidR="00481289" w:rsidRDefault="00481289" w:rsidP="00481289"/>
    <w:p w14:paraId="40FA8034" w14:textId="751D1F95" w:rsidR="00E46006" w:rsidRPr="00FA2920" w:rsidRDefault="00E46006" w:rsidP="001F6288">
      <w:pPr>
        <w:pStyle w:val="Heading1"/>
        <w:keepLines w:val="0"/>
        <w:numPr>
          <w:ilvl w:val="0"/>
          <w:numId w:val="8"/>
        </w:numPr>
        <w:tabs>
          <w:tab w:val="clear" w:pos="1418"/>
        </w:tabs>
        <w:overflowPunct/>
        <w:autoSpaceDE/>
        <w:autoSpaceDN/>
        <w:adjustRightInd/>
        <w:jc w:val="both"/>
        <w:textAlignment w:val="auto"/>
      </w:pPr>
      <w:r w:rsidRPr="00FA2920">
        <w:t>Performance indicators</w:t>
      </w:r>
    </w:p>
    <w:p w14:paraId="76B267C0" w14:textId="30A98E9A" w:rsidR="00481289" w:rsidRDefault="00481289" w:rsidP="00481289">
      <w:pPr>
        <w:rPr>
          <w:szCs w:val="24"/>
          <w:lang w:eastAsia="fr-BE"/>
        </w:rPr>
      </w:pPr>
      <w:r w:rsidRPr="00481289">
        <w:rPr>
          <w:szCs w:val="24"/>
          <w:lang w:eastAsia="fr-BE"/>
        </w:rPr>
        <w:t>Management of the overall performance, measured in relation to specific KPIs, will be a standing item on the agenda of meetings of ETSI TC HF. Both ETSI TC HF and the Reference Group will specifically monitor the performance of the STF and suggest improvements, also in relation to any comments expressed by the Commission and EFTA on the interim report to be delivered at milestone 10 (see below).  In the event of targets risking not to be met, it will propose remedial actions to the STF, to ETSI TC HF, or other involved parties.</w:t>
      </w:r>
    </w:p>
    <w:p w14:paraId="73D073F9" w14:textId="77777777" w:rsidR="00481289" w:rsidRPr="00481289" w:rsidRDefault="00481289" w:rsidP="00481289">
      <w:pPr>
        <w:rPr>
          <w:szCs w:val="24"/>
          <w:lang w:eastAsia="fr-BE"/>
        </w:rPr>
      </w:pPr>
    </w:p>
    <w:p w14:paraId="354328C9" w14:textId="6EE136CD" w:rsidR="00481289" w:rsidRDefault="00481289" w:rsidP="00481289">
      <w:pPr>
        <w:rPr>
          <w:szCs w:val="24"/>
          <w:lang w:eastAsia="fr-BE"/>
        </w:rPr>
      </w:pPr>
      <w:r w:rsidRPr="00481289">
        <w:rPr>
          <w:szCs w:val="24"/>
          <w:lang w:eastAsia="fr-BE"/>
        </w:rPr>
        <w:t>The following KPIs are proposed:</w:t>
      </w:r>
    </w:p>
    <w:p w14:paraId="5100460A" w14:textId="77777777" w:rsidR="00481289" w:rsidRPr="00481289" w:rsidRDefault="00481289" w:rsidP="00481289">
      <w:pPr>
        <w:rPr>
          <w:szCs w:val="24"/>
          <w:lang w:eastAsia="fr-BE"/>
        </w:rPr>
      </w:pPr>
    </w:p>
    <w:p w14:paraId="6C80808E" w14:textId="1781B23A" w:rsidR="00481289" w:rsidRDefault="00481289" w:rsidP="00481289">
      <w:pPr>
        <w:rPr>
          <w:szCs w:val="24"/>
          <w:lang w:eastAsia="fr-BE"/>
        </w:rPr>
      </w:pPr>
      <w:r w:rsidRPr="00481289">
        <w:rPr>
          <w:szCs w:val="24"/>
          <w:lang w:eastAsia="fr-BE"/>
        </w:rPr>
        <w:t xml:space="preserve">Concerning effectiveness and efficiency </w:t>
      </w:r>
      <w:r>
        <w:rPr>
          <w:szCs w:val="24"/>
          <w:lang w:eastAsia="fr-BE"/>
        </w:rPr>
        <w:t>–</w:t>
      </w:r>
    </w:p>
    <w:p w14:paraId="69A2000D" w14:textId="77777777" w:rsidR="00481289" w:rsidRPr="00481289" w:rsidRDefault="00481289" w:rsidP="00481289">
      <w:pPr>
        <w:rPr>
          <w:szCs w:val="24"/>
          <w:lang w:eastAsia="fr-BE"/>
        </w:rPr>
      </w:pPr>
    </w:p>
    <w:p w14:paraId="18D0CA1D"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Deliverable achieved on time and in accordance with project work plan and milestones;</w:t>
      </w:r>
    </w:p>
    <w:p w14:paraId="1CE67E33" w14:textId="12A1F387" w:rsidR="00481289" w:rsidRDefault="00481289" w:rsidP="001F6288">
      <w:pPr>
        <w:pStyle w:val="ListParagraph"/>
        <w:numPr>
          <w:ilvl w:val="0"/>
          <w:numId w:val="13"/>
        </w:numPr>
        <w:ind w:left="567" w:hanging="567"/>
        <w:rPr>
          <w:rFonts w:ascii="Arial" w:hAnsi="Arial" w:cs="Arial"/>
          <w:sz w:val="20"/>
        </w:rPr>
      </w:pPr>
      <w:r w:rsidRPr="00481289">
        <w:rPr>
          <w:rFonts w:ascii="Arial" w:hAnsi="Arial" w:cs="Arial"/>
          <w:sz w:val="20"/>
          <w:lang w:eastAsia="en-US"/>
        </w:rPr>
        <w:t xml:space="preserve">Stakeholder satisfaction survey carried out at the open meeting and subsequently electronically, registering a positive outcome </w:t>
      </w:r>
    </w:p>
    <w:p w14:paraId="6A084BFF" w14:textId="77777777" w:rsidR="00481289" w:rsidRPr="00481289" w:rsidRDefault="00481289" w:rsidP="00481289">
      <w:pPr>
        <w:pStyle w:val="ListParagraph"/>
        <w:ind w:left="567"/>
        <w:rPr>
          <w:rFonts w:ascii="Arial" w:hAnsi="Arial" w:cs="Arial"/>
          <w:sz w:val="20"/>
          <w:lang w:eastAsia="en-US"/>
        </w:rPr>
      </w:pPr>
    </w:p>
    <w:p w14:paraId="51841ED4" w14:textId="11F425BD" w:rsidR="00481289" w:rsidRDefault="00481289" w:rsidP="00481289">
      <w:pPr>
        <w:rPr>
          <w:szCs w:val="24"/>
          <w:lang w:eastAsia="fr-BE"/>
        </w:rPr>
      </w:pPr>
      <w:r w:rsidRPr="00481289">
        <w:rPr>
          <w:szCs w:val="24"/>
          <w:lang w:eastAsia="fr-BE"/>
        </w:rPr>
        <w:t xml:space="preserve">Concerning stakeholder engagement and dissemination of results </w:t>
      </w:r>
      <w:r>
        <w:rPr>
          <w:szCs w:val="24"/>
          <w:lang w:eastAsia="fr-BE"/>
        </w:rPr>
        <w:t>–</w:t>
      </w:r>
      <w:r w:rsidRPr="00481289">
        <w:rPr>
          <w:szCs w:val="24"/>
          <w:lang w:eastAsia="fr-BE"/>
        </w:rPr>
        <w:t xml:space="preserve"> </w:t>
      </w:r>
    </w:p>
    <w:p w14:paraId="521BAF92" w14:textId="77777777" w:rsidR="00481289" w:rsidRPr="00481289" w:rsidRDefault="00481289" w:rsidP="00481289">
      <w:pPr>
        <w:rPr>
          <w:szCs w:val="24"/>
          <w:lang w:eastAsia="fr-BE"/>
        </w:rPr>
      </w:pPr>
    </w:p>
    <w:p w14:paraId="549F7C9D"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at least a dozen participants in the Steering Group;</w:t>
      </w:r>
    </w:p>
    <w:p w14:paraId="057C6576"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 xml:space="preserve">50 entities (organisations, associations, companies, individuals etc.) registered on project website; </w:t>
      </w:r>
    </w:p>
    <w:p w14:paraId="104D0BDA"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Feedback obtained from 10 standards Technical Committees (or other consensus groups) within the ESOs;</w:t>
      </w:r>
    </w:p>
    <w:p w14:paraId="76CC7592"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Contact with at least five other SDOs to ascertain their interest and possible involvement;</w:t>
      </w:r>
    </w:p>
    <w:p w14:paraId="1CC757E7"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Contact with at least ten cities or local communities, to ascertain their interest and possible involvement;</w:t>
      </w:r>
    </w:p>
    <w:p w14:paraId="2684081E"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30 participants in the open meeting that will serve to consider the draft Technical Report;</w:t>
      </w:r>
    </w:p>
    <w:p w14:paraId="32384084" w14:textId="77777777" w:rsidR="00481289" w:rsidRPr="00481289" w:rsidRDefault="00481289" w:rsidP="001F6288">
      <w:pPr>
        <w:pStyle w:val="ListParagraph"/>
        <w:numPr>
          <w:ilvl w:val="0"/>
          <w:numId w:val="13"/>
        </w:numPr>
        <w:ind w:left="567" w:hanging="567"/>
        <w:rPr>
          <w:rFonts w:ascii="Arial" w:hAnsi="Arial" w:cs="Arial"/>
          <w:sz w:val="20"/>
          <w:lang w:eastAsia="en-US"/>
        </w:rPr>
      </w:pPr>
      <w:r w:rsidRPr="00481289">
        <w:rPr>
          <w:rFonts w:ascii="Arial" w:hAnsi="Arial" w:cs="Arial"/>
          <w:sz w:val="20"/>
          <w:lang w:eastAsia="en-US"/>
        </w:rPr>
        <w:t>Comments on the draft Technical Report at public comment stage from at least 20 separate entities.</w:t>
      </w:r>
    </w:p>
    <w:p w14:paraId="0CC07218" w14:textId="77777777" w:rsidR="006A5009" w:rsidRDefault="006A5009" w:rsidP="006A5009"/>
    <w:p w14:paraId="3260CB86" w14:textId="77777777" w:rsidR="00E46006" w:rsidRDefault="00E46006" w:rsidP="001F6288">
      <w:pPr>
        <w:pStyle w:val="Heading1"/>
        <w:keepLines w:val="0"/>
        <w:numPr>
          <w:ilvl w:val="0"/>
          <w:numId w:val="8"/>
        </w:numPr>
        <w:tabs>
          <w:tab w:val="clear" w:pos="1418"/>
        </w:tabs>
        <w:overflowPunct/>
        <w:autoSpaceDE/>
        <w:autoSpaceDN/>
        <w:adjustRightInd/>
        <w:jc w:val="both"/>
        <w:textAlignment w:val="auto"/>
      </w:pPr>
      <w:r w:rsidRPr="00FA2920">
        <w:t>Work plan, milestones and deliverables</w:t>
      </w:r>
    </w:p>
    <w:p w14:paraId="466CAD38" w14:textId="24629864" w:rsidR="00E46006" w:rsidRDefault="00E46006" w:rsidP="001F6288">
      <w:pPr>
        <w:pStyle w:val="Heading2"/>
        <w:numPr>
          <w:ilvl w:val="1"/>
          <w:numId w:val="8"/>
        </w:numPr>
        <w:ind w:left="567" w:hanging="567"/>
        <w:jc w:val="both"/>
      </w:pPr>
      <w:r w:rsidRPr="00FA2920">
        <w:t>Deliverable</w:t>
      </w:r>
      <w:r>
        <w:t>s</w:t>
      </w:r>
    </w:p>
    <w:p w14:paraId="6CB798C8" w14:textId="68518714" w:rsidR="00481289" w:rsidRDefault="00481289" w:rsidP="00481289">
      <w:r w:rsidRPr="00481289">
        <w:t>A two-year project duration is envisaged, to prepare an ETSI Technical Report entitled (working title) “Smart cities and communities standardization for citizens and consumers”, and with the scope to carry out an assessment of the different citizen/consumer needs that smart city standardization in the ICT domain has to address (accessibility, usability, personalisation, interoperability, p</w:t>
      </w:r>
      <w:r w:rsidR="00203A22">
        <w:t>ersonal data protection, etc.).</w:t>
      </w:r>
    </w:p>
    <w:p w14:paraId="1AB8054D" w14:textId="77777777" w:rsidR="005F4B92" w:rsidRDefault="005F4B92" w:rsidP="00481289"/>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443"/>
        <w:gridCol w:w="572"/>
        <w:gridCol w:w="6216"/>
        <w:gridCol w:w="1321"/>
      </w:tblGrid>
      <w:tr w:rsidR="005F4B92" w:rsidRPr="00F0769F" w14:paraId="53BC0742" w14:textId="77777777" w:rsidTr="009100D8">
        <w:trPr>
          <w:trHeight w:val="266"/>
          <w:tblHeader/>
          <w:jc w:val="center"/>
        </w:trPr>
        <w:tc>
          <w:tcPr>
            <w:tcW w:w="1443" w:type="dxa"/>
            <w:shd w:val="clear" w:color="auto" w:fill="BDD6EE" w:themeFill="accent1" w:themeFillTint="66"/>
          </w:tcPr>
          <w:p w14:paraId="24FBDA18" w14:textId="77777777" w:rsidR="005F4B92" w:rsidRPr="00F0769F" w:rsidRDefault="005F4B92" w:rsidP="00DD323B">
            <w:pPr>
              <w:pStyle w:val="TAH"/>
              <w:rPr>
                <w:lang w:val="en-US"/>
              </w:rPr>
            </w:pPr>
            <w:r w:rsidRPr="00F0769F">
              <w:rPr>
                <w:lang w:val="en-US"/>
              </w:rPr>
              <w:t xml:space="preserve">Deliverable </w:t>
            </w:r>
            <w:r>
              <w:rPr>
                <w:lang w:val="en-US"/>
              </w:rPr>
              <w:t>ID</w:t>
            </w:r>
          </w:p>
        </w:tc>
        <w:tc>
          <w:tcPr>
            <w:tcW w:w="572" w:type="dxa"/>
            <w:shd w:val="clear" w:color="auto" w:fill="BDD6EE" w:themeFill="accent1" w:themeFillTint="66"/>
          </w:tcPr>
          <w:p w14:paraId="6CEA7FFE" w14:textId="77777777" w:rsidR="005F4B92" w:rsidRPr="00F0769F" w:rsidRDefault="005F4B92" w:rsidP="00DD323B">
            <w:pPr>
              <w:pStyle w:val="TAH"/>
              <w:spacing w:before="40" w:after="40"/>
              <w:rPr>
                <w:lang w:val="en-US"/>
              </w:rPr>
            </w:pPr>
            <w:r w:rsidRPr="00F0769F">
              <w:rPr>
                <w:lang w:val="en-US"/>
              </w:rPr>
              <w:t>Type</w:t>
            </w:r>
          </w:p>
        </w:tc>
        <w:tc>
          <w:tcPr>
            <w:tcW w:w="6216" w:type="dxa"/>
            <w:shd w:val="clear" w:color="auto" w:fill="BDD6EE" w:themeFill="accent1" w:themeFillTint="66"/>
          </w:tcPr>
          <w:p w14:paraId="7B3D12BB" w14:textId="77777777" w:rsidR="005F4B92" w:rsidRPr="00F0769F" w:rsidRDefault="005F4B92" w:rsidP="00DD323B">
            <w:pPr>
              <w:pStyle w:val="TAH"/>
              <w:rPr>
                <w:lang w:val="en-US"/>
              </w:rPr>
            </w:pPr>
            <w:r w:rsidRPr="00F0769F">
              <w:rPr>
                <w:lang w:val="en-US"/>
              </w:rPr>
              <w:t xml:space="preserve">Title </w:t>
            </w:r>
            <w:r w:rsidRPr="00A60230">
              <w:rPr>
                <w:lang w:val="en-US"/>
              </w:rPr>
              <w:t>and</w:t>
            </w:r>
            <w:r w:rsidRPr="00F0769F">
              <w:rPr>
                <w:lang w:val="en-US"/>
              </w:rPr>
              <w:t xml:space="preserve"> Contents</w:t>
            </w:r>
          </w:p>
        </w:tc>
        <w:tc>
          <w:tcPr>
            <w:tcW w:w="1321" w:type="dxa"/>
            <w:tcBorders>
              <w:bottom w:val="single" w:sz="4" w:space="0" w:color="000000"/>
            </w:tcBorders>
            <w:shd w:val="clear" w:color="auto" w:fill="BDD6EE" w:themeFill="accent1" w:themeFillTint="66"/>
          </w:tcPr>
          <w:p w14:paraId="710479A8" w14:textId="77777777" w:rsidR="005F4B92" w:rsidRPr="00F0769F" w:rsidRDefault="005F4B92" w:rsidP="00DD323B">
            <w:pPr>
              <w:pStyle w:val="TAH"/>
              <w:rPr>
                <w:lang w:val="en-US"/>
              </w:rPr>
            </w:pPr>
            <w:r>
              <w:rPr>
                <w:lang w:val="en-US"/>
              </w:rPr>
              <w:t>Observations</w:t>
            </w:r>
          </w:p>
        </w:tc>
      </w:tr>
      <w:tr w:rsidR="005F4B92" w:rsidRPr="00F0769F" w14:paraId="1853F7AE" w14:textId="77777777" w:rsidTr="009100D8">
        <w:trPr>
          <w:trHeight w:val="378"/>
          <w:jc w:val="center"/>
        </w:trPr>
        <w:tc>
          <w:tcPr>
            <w:tcW w:w="1443" w:type="dxa"/>
            <w:tcBorders>
              <w:top w:val="single" w:sz="4" w:space="0" w:color="000000"/>
              <w:left w:val="single" w:sz="4" w:space="0" w:color="000000"/>
              <w:bottom w:val="single" w:sz="4" w:space="0" w:color="000000"/>
              <w:right w:val="single" w:sz="4" w:space="0" w:color="000000"/>
            </w:tcBorders>
            <w:vAlign w:val="center"/>
          </w:tcPr>
          <w:p w14:paraId="6F6F5819" w14:textId="1ABA1520" w:rsidR="005F4B92" w:rsidRDefault="009100D8" w:rsidP="00DD323B">
            <w:pPr>
              <w:tabs>
                <w:tab w:val="clear" w:pos="1418"/>
                <w:tab w:val="clear" w:pos="4678"/>
                <w:tab w:val="clear" w:pos="5954"/>
                <w:tab w:val="clear" w:pos="7088"/>
              </w:tabs>
              <w:overflowPunct/>
              <w:autoSpaceDE/>
              <w:autoSpaceDN/>
              <w:adjustRightInd/>
              <w:jc w:val="left"/>
              <w:textAlignment w:val="auto"/>
              <w:rPr>
                <w:rFonts w:cs="Arial"/>
                <w:color w:val="000000"/>
              </w:rPr>
            </w:pPr>
            <w:r w:rsidRPr="00995679">
              <w:rPr>
                <w:rFonts w:cs="Arial"/>
                <w:color w:val="000000"/>
              </w:rPr>
              <w:t>DTR/HF-00162</w:t>
            </w:r>
          </w:p>
          <w:p w14:paraId="1D93B138" w14:textId="77777777" w:rsidR="005F4B92" w:rsidRPr="00F0769F" w:rsidRDefault="005F4B92" w:rsidP="00DD323B">
            <w:pPr>
              <w:pStyle w:val="TAC"/>
              <w:spacing w:before="40" w:after="40"/>
              <w:rPr>
                <w:b/>
                <w:lang w:val="en-US"/>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60267D1" w14:textId="77777777" w:rsidR="005F4B92" w:rsidRPr="00F0769F" w:rsidRDefault="005F4B92" w:rsidP="00DD323B">
            <w:pPr>
              <w:pStyle w:val="TAC"/>
              <w:spacing w:before="40" w:after="40"/>
              <w:rPr>
                <w:lang w:val="en-US"/>
              </w:rPr>
            </w:pPr>
            <w:r>
              <w:rPr>
                <w:lang w:val="en-US"/>
              </w:rPr>
              <w:t>TR</w:t>
            </w:r>
          </w:p>
        </w:tc>
        <w:tc>
          <w:tcPr>
            <w:tcW w:w="6216" w:type="dxa"/>
            <w:tcBorders>
              <w:top w:val="single" w:sz="4" w:space="0" w:color="000000"/>
              <w:left w:val="single" w:sz="4" w:space="0" w:color="000000"/>
              <w:bottom w:val="single" w:sz="4" w:space="0" w:color="000000"/>
              <w:right w:val="single" w:sz="4" w:space="0" w:color="000000"/>
            </w:tcBorders>
            <w:vAlign w:val="center"/>
          </w:tcPr>
          <w:p w14:paraId="655598C9" w14:textId="77777777" w:rsidR="005F4B92" w:rsidRDefault="005F4B92" w:rsidP="00DD323B">
            <w:pPr>
              <w:pStyle w:val="TAL"/>
              <w:rPr>
                <w:rFonts w:cs="Arial"/>
                <w:szCs w:val="18"/>
                <w:lang w:val="en-US"/>
              </w:rPr>
            </w:pPr>
            <w:r w:rsidRPr="00A7720B">
              <w:rPr>
                <w:rFonts w:cs="Arial"/>
                <w:b/>
                <w:szCs w:val="18"/>
                <w:lang w:val="en-US"/>
              </w:rPr>
              <w:t>Title:</w:t>
            </w:r>
            <w:r>
              <w:rPr>
                <w:rFonts w:cs="Arial"/>
                <w:szCs w:val="18"/>
                <w:lang w:val="en-US"/>
              </w:rPr>
              <w:t xml:space="preserve"> </w:t>
            </w:r>
            <w:proofErr w:type="spellStart"/>
            <w:r w:rsidRPr="009D44A4">
              <w:rPr>
                <w:rFonts w:cs="Arial"/>
                <w:bCs/>
                <w:color w:val="000000"/>
                <w:sz w:val="20"/>
              </w:rPr>
              <w:t>SmartCities</w:t>
            </w:r>
            <w:proofErr w:type="spellEnd"/>
            <w:r w:rsidRPr="009D44A4">
              <w:rPr>
                <w:rFonts w:cs="Arial"/>
                <w:bCs/>
                <w:color w:val="000000"/>
              </w:rPr>
              <w:t xml:space="preserve">: </w:t>
            </w:r>
            <w:r w:rsidRPr="009D44A4">
              <w:rPr>
                <w:rFonts w:cs="Arial"/>
                <w:bCs/>
                <w:color w:val="000000"/>
                <w:sz w:val="20"/>
              </w:rPr>
              <w:t>Smart cities and communities standardization for citizens &amp; consumers</w:t>
            </w:r>
            <w:r w:rsidRPr="00B53A52">
              <w:rPr>
                <w:rFonts w:cs="Arial"/>
                <w:szCs w:val="18"/>
                <w:lang w:val="en-US"/>
              </w:rPr>
              <w:t xml:space="preserve"> </w:t>
            </w:r>
          </w:p>
          <w:p w14:paraId="1FD34B63" w14:textId="77777777" w:rsidR="005F4B92" w:rsidRDefault="005F4B92" w:rsidP="00DD323B">
            <w:pPr>
              <w:pStyle w:val="TAL"/>
              <w:rPr>
                <w:rFonts w:cs="Arial"/>
                <w:szCs w:val="18"/>
                <w:lang w:val="en-US"/>
              </w:rPr>
            </w:pPr>
          </w:p>
          <w:p w14:paraId="07FFCBD1" w14:textId="77777777" w:rsidR="005F4B92" w:rsidRPr="0073613B" w:rsidRDefault="005F4B92" w:rsidP="00DD32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100" w:lineRule="atLeast"/>
              <w:rPr>
                <w:rFonts w:eastAsia="ArialMT"/>
                <w:color w:val="000000"/>
                <w:sz w:val="22"/>
                <w:szCs w:val="22"/>
              </w:rPr>
            </w:pPr>
            <w:r w:rsidRPr="00995679">
              <w:rPr>
                <w:rFonts w:cs="Arial"/>
                <w:b/>
                <w:szCs w:val="18"/>
                <w:lang w:val="en-US"/>
              </w:rPr>
              <w:t>Content:</w:t>
            </w:r>
            <w:r w:rsidRPr="00995679">
              <w:rPr>
                <w:rFonts w:cs="Arial"/>
                <w:szCs w:val="18"/>
                <w:lang w:val="en-US"/>
              </w:rPr>
              <w:t xml:space="preserve"> </w:t>
            </w:r>
            <w:r w:rsidRPr="00995679">
              <w:rPr>
                <w:rFonts w:cs="Arial"/>
                <w:color w:val="000000"/>
              </w:rPr>
              <w:t xml:space="preserve">DTR/HF-00162 </w:t>
            </w:r>
            <w:r w:rsidRPr="00995679">
              <w:rPr>
                <w:rFonts w:eastAsia="ArialMT"/>
                <w:color w:val="000000"/>
              </w:rPr>
              <w:t>has ETSI TR 103 455 as the intended final result) with the title “</w:t>
            </w:r>
            <w:r w:rsidRPr="00995679">
              <w:rPr>
                <w:rFonts w:eastAsia="Arial-ItalicMT"/>
                <w:i/>
                <w:iCs/>
                <w:color w:val="000000"/>
              </w:rPr>
              <w:t xml:space="preserve">Smart cities and communities standardization for citizens and consumers”.  </w:t>
            </w:r>
            <w:r w:rsidRPr="00995679">
              <w:rPr>
                <w:rFonts w:eastAsia="Arial-ItalicMT"/>
                <w:iCs/>
                <w:color w:val="000000"/>
              </w:rPr>
              <w:t>The work will reflect the convergence between AIOTI and Smart Cities initiatives.</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7B3AC2E6" w14:textId="77777777" w:rsidR="005F4B92" w:rsidRPr="00E302F4" w:rsidRDefault="005F4B92" w:rsidP="00DD323B">
            <w:pPr>
              <w:pStyle w:val="TAL"/>
              <w:rPr>
                <w:rFonts w:cs="Arial"/>
                <w:szCs w:val="18"/>
                <w:lang w:val="en-US"/>
              </w:rPr>
            </w:pPr>
          </w:p>
        </w:tc>
      </w:tr>
    </w:tbl>
    <w:p w14:paraId="2A64EEA8" w14:textId="77777777" w:rsidR="00203A22" w:rsidRDefault="00203A22" w:rsidP="00481289"/>
    <w:p w14:paraId="5C9969E3" w14:textId="77777777" w:rsidR="00481289" w:rsidRPr="00481289" w:rsidRDefault="00481289" w:rsidP="00481289"/>
    <w:p w14:paraId="523E1981" w14:textId="77777777" w:rsidR="00E46006" w:rsidRPr="00D006E9" w:rsidRDefault="00E46006" w:rsidP="001F6288">
      <w:pPr>
        <w:pStyle w:val="Heading2"/>
        <w:keepLines w:val="0"/>
        <w:numPr>
          <w:ilvl w:val="1"/>
          <w:numId w:val="8"/>
        </w:numPr>
        <w:tabs>
          <w:tab w:val="clear" w:pos="1418"/>
        </w:tabs>
        <w:overflowPunct/>
        <w:autoSpaceDE/>
        <w:autoSpaceDN/>
        <w:adjustRightInd/>
        <w:jc w:val="both"/>
        <w:textAlignment w:val="auto"/>
      </w:pPr>
      <w:r w:rsidRPr="00D006E9">
        <w:t>Repor</w:t>
      </w:r>
      <w:r w:rsidRPr="007660A9">
        <w:t>t</w:t>
      </w:r>
      <w:r w:rsidRPr="00D006E9">
        <w:t>s to be submitted to the EC/EFTA:</w:t>
      </w:r>
    </w:p>
    <w:p w14:paraId="2F1E02C0" w14:textId="516013EC" w:rsidR="00481289" w:rsidRDefault="00481289" w:rsidP="00481289">
      <w:r w:rsidRPr="00481289">
        <w:t>An interim activity report will be submitted to EC/EFTA 15 months after the start of the action, to cover all the actions leading up to and including the first draft of the proposed report as submitted to public comment.</w:t>
      </w:r>
    </w:p>
    <w:p w14:paraId="6DE91BCC" w14:textId="77777777" w:rsidR="00481289" w:rsidRDefault="00481289" w:rsidP="00481289"/>
    <w:p w14:paraId="12CB80CF" w14:textId="77777777" w:rsidR="00481289" w:rsidRDefault="00481289" w:rsidP="00481289">
      <w:r w:rsidRPr="00481289">
        <w:t>A final report will be submitted after 24 months, to cover the subsequent actions, including the report of the open meeting and the comments made and their resolution, and a copy of the adopted and published ETSI TR.</w:t>
      </w:r>
    </w:p>
    <w:p w14:paraId="69A10EDA" w14:textId="77777777" w:rsidR="00481289" w:rsidRDefault="00481289" w:rsidP="00481289"/>
    <w:p w14:paraId="574B7325" w14:textId="3C6E4CA4" w:rsidR="00B03FE3" w:rsidRDefault="00B03FE3" w:rsidP="00DF4ACD">
      <w:pPr>
        <w:pStyle w:val="Heading2"/>
        <w:keepLines w:val="0"/>
        <w:numPr>
          <w:ilvl w:val="0"/>
          <w:numId w:val="0"/>
        </w:numPr>
        <w:tabs>
          <w:tab w:val="clear" w:pos="1418"/>
        </w:tabs>
        <w:overflowPunct/>
        <w:autoSpaceDE/>
        <w:autoSpaceDN/>
        <w:adjustRightInd/>
        <w:jc w:val="both"/>
        <w:textAlignment w:val="auto"/>
      </w:pPr>
      <w:r>
        <w:rPr>
          <w:b w:val="0"/>
          <w:bCs/>
        </w:rPr>
        <w:fldChar w:fldCharType="begin"/>
      </w:r>
      <w:r>
        <w:rPr>
          <w:b w:val="0"/>
          <w:bCs/>
        </w:rPr>
        <w:instrText xml:space="preserve"> REF  _Ref288151960  \* MERGEFORMAT </w:instrText>
      </w:r>
      <w:r>
        <w:rPr>
          <w:b w:val="0"/>
          <w:bCs/>
        </w:rPr>
        <w:fldChar w:fldCharType="separate"/>
      </w:r>
    </w:p>
    <w:p w14:paraId="73FE3252" w14:textId="3037279C" w:rsidR="005F4B92" w:rsidRPr="005F4B92" w:rsidRDefault="00203A22" w:rsidP="005F4B92">
      <w:pPr>
        <w:pStyle w:val="Heading2"/>
        <w:keepLines w:val="0"/>
        <w:numPr>
          <w:ilvl w:val="1"/>
          <w:numId w:val="8"/>
        </w:numPr>
        <w:tabs>
          <w:tab w:val="clear" w:pos="1418"/>
        </w:tabs>
        <w:overflowPunct/>
        <w:autoSpaceDE/>
        <w:autoSpaceDN/>
        <w:adjustRightInd/>
        <w:jc w:val="both"/>
        <w:textAlignment w:val="auto"/>
      </w:pPr>
      <w:r>
        <w:t>Summary of mai</w:t>
      </w:r>
      <w:r w:rsidR="00B03FE3" w:rsidRPr="00FA2920">
        <w:t>n</w:t>
      </w:r>
      <w:r>
        <w:t xml:space="preserve"> activities and milestones</w:t>
      </w:r>
      <w:r w:rsidR="00B03FE3" w:rsidRPr="00FA2920">
        <w:t xml:space="preserve"> </w:t>
      </w:r>
    </w:p>
    <w:p w14:paraId="1D75D297" w14:textId="2B172D84" w:rsidR="00203A22" w:rsidRDefault="00B03FE3" w:rsidP="00203A22">
      <w:r>
        <w:rPr>
          <w:b/>
          <w:bCs/>
        </w:rPr>
        <w:fldChar w:fldCharType="end"/>
      </w:r>
      <w:r w:rsidR="00203A22" w:rsidRPr="00203A22">
        <w:t xml:space="preserve">The following table sets out schematically the tasks to </w:t>
      </w:r>
      <w:proofErr w:type="gramStart"/>
      <w:r w:rsidR="00203A22" w:rsidRPr="00203A22">
        <w:t>be performed</w:t>
      </w:r>
      <w:proofErr w:type="gramEnd"/>
      <w:r w:rsidR="00203A22" w:rsidRPr="00203A22">
        <w:t xml:space="preserve"> over the contract period and the major milestones in the project:</w:t>
      </w:r>
    </w:p>
    <w:p w14:paraId="3339DE19" w14:textId="433DD154" w:rsidR="0073613B" w:rsidRDefault="0073613B">
      <w:pPr>
        <w:tabs>
          <w:tab w:val="clear" w:pos="1418"/>
          <w:tab w:val="clear" w:pos="4678"/>
          <w:tab w:val="clear" w:pos="5954"/>
          <w:tab w:val="clear" w:pos="7088"/>
        </w:tabs>
        <w:overflowPunct/>
        <w:autoSpaceDE/>
        <w:autoSpaceDN/>
        <w:adjustRightInd/>
        <w:jc w:val="left"/>
        <w:textAlignment w:val="auto"/>
      </w:pPr>
      <w:r>
        <w:br w:type="page"/>
      </w:r>
    </w:p>
    <w:p w14:paraId="35946021" w14:textId="77777777" w:rsidR="0073613B" w:rsidRPr="00203A22" w:rsidRDefault="0073613B" w:rsidP="00203A22"/>
    <w:p w14:paraId="73333981" w14:textId="3B747509" w:rsidR="00E46006" w:rsidRDefault="0073613B" w:rsidP="00E46006">
      <w:pPr>
        <w:rPr>
          <w:b/>
          <w:u w:val="single"/>
        </w:rPr>
      </w:pPr>
      <w:r>
        <w:rPr>
          <w:b/>
          <w:u w:val="single"/>
        </w:rPr>
        <w:t xml:space="preserve">Table 1 - </w:t>
      </w:r>
      <w:r w:rsidRPr="0073613B">
        <w:rPr>
          <w:b/>
          <w:u w:val="single"/>
        </w:rPr>
        <w:t>Calendar for tasks and milestones</w:t>
      </w:r>
    </w:p>
    <w:p w14:paraId="7DBAA4AB" w14:textId="77777777" w:rsidR="0073613B" w:rsidRPr="0073613B" w:rsidRDefault="0073613B" w:rsidP="00E46006">
      <w:pPr>
        <w:rPr>
          <w:b/>
          <w:u w:val="single"/>
        </w:rPr>
      </w:pPr>
    </w:p>
    <w:tbl>
      <w:tblPr>
        <w:tblW w:w="10972" w:type="dxa"/>
        <w:tblInd w:w="-856" w:type="dxa"/>
        <w:tblLayout w:type="fixed"/>
        <w:tblLook w:val="0000" w:firstRow="0" w:lastRow="0" w:firstColumn="0" w:lastColumn="0" w:noHBand="0" w:noVBand="0"/>
      </w:tblPr>
      <w:tblGrid>
        <w:gridCol w:w="2476"/>
        <w:gridCol w:w="315"/>
        <w:gridCol w:w="314"/>
        <w:gridCol w:w="315"/>
        <w:gridCol w:w="315"/>
        <w:gridCol w:w="338"/>
        <w:gridCol w:w="337"/>
        <w:gridCol w:w="391"/>
        <w:gridCol w:w="436"/>
        <w:gridCol w:w="412"/>
        <w:gridCol w:w="403"/>
        <w:gridCol w:w="391"/>
        <w:gridCol w:w="381"/>
        <w:gridCol w:w="370"/>
        <w:gridCol w:w="370"/>
        <w:gridCol w:w="423"/>
        <w:gridCol w:w="402"/>
        <w:gridCol w:w="403"/>
        <w:gridCol w:w="391"/>
        <w:gridCol w:w="424"/>
        <w:gridCol w:w="403"/>
        <w:gridCol w:w="403"/>
        <w:gridCol w:w="551"/>
        <w:gridCol w:w="8"/>
      </w:tblGrid>
      <w:tr w:rsidR="00203A22" w14:paraId="4BBDE044" w14:textId="77777777" w:rsidTr="005F4B92">
        <w:trPr>
          <w:trHeight w:val="353"/>
        </w:trPr>
        <w:tc>
          <w:tcPr>
            <w:tcW w:w="2476" w:type="dxa"/>
            <w:tcBorders>
              <w:top w:val="single" w:sz="4" w:space="0" w:color="000000"/>
              <w:left w:val="single" w:sz="4" w:space="0" w:color="000000"/>
              <w:bottom w:val="single" w:sz="4" w:space="0" w:color="000000"/>
            </w:tcBorders>
            <w:shd w:val="clear" w:color="auto" w:fill="FFFFFF"/>
            <w:vAlign w:val="center"/>
          </w:tcPr>
          <w:p w14:paraId="1E249BB8" w14:textId="77777777" w:rsidR="00203A22" w:rsidRDefault="00203A22" w:rsidP="00DD323B">
            <w:pPr>
              <w:snapToGrid w:val="0"/>
            </w:pPr>
          </w:p>
        </w:tc>
        <w:tc>
          <w:tcPr>
            <w:tcW w:w="8496"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7D76A5A7" w14:textId="77777777" w:rsidR="00203A22" w:rsidRDefault="00203A22" w:rsidP="00DD323B">
            <w:pPr>
              <w:keepNext/>
              <w:keepLines/>
              <w:jc w:val="center"/>
            </w:pPr>
            <w:r>
              <w:rPr>
                <w:rStyle w:val="None"/>
                <w:b/>
                <w:bCs/>
                <w:sz w:val="22"/>
                <w:szCs w:val="22"/>
                <w:lang w:val="en-US"/>
              </w:rPr>
              <w:t>Month</w:t>
            </w:r>
          </w:p>
        </w:tc>
      </w:tr>
      <w:tr w:rsidR="005F4B92" w14:paraId="14F2BD65" w14:textId="77777777" w:rsidTr="005F4B92">
        <w:trPr>
          <w:gridAfter w:val="1"/>
          <w:wAfter w:w="8" w:type="dxa"/>
          <w:trHeight w:val="353"/>
        </w:trPr>
        <w:tc>
          <w:tcPr>
            <w:tcW w:w="2476" w:type="dxa"/>
            <w:tcBorders>
              <w:top w:val="single" w:sz="4" w:space="0" w:color="000000"/>
              <w:left w:val="single" w:sz="4" w:space="0" w:color="000000"/>
              <w:bottom w:val="single" w:sz="4" w:space="0" w:color="000000"/>
            </w:tcBorders>
            <w:shd w:val="clear" w:color="auto" w:fill="FFFFFF"/>
            <w:vAlign w:val="center"/>
          </w:tcPr>
          <w:p w14:paraId="4E51806C" w14:textId="77777777" w:rsidR="00203A22" w:rsidRDefault="00203A22" w:rsidP="00DD323B">
            <w:pPr>
              <w:keepNext/>
              <w:keepLines/>
              <w:jc w:val="center"/>
              <w:rPr>
                <w:rStyle w:val="None"/>
                <w:sz w:val="14"/>
                <w:szCs w:val="14"/>
                <w:lang w:val="en-US"/>
              </w:rPr>
            </w:pPr>
            <w:r>
              <w:rPr>
                <w:rStyle w:val="None"/>
                <w:b/>
                <w:bCs/>
                <w:lang w:val="en-US"/>
              </w:rPr>
              <w:t>Task</w:t>
            </w:r>
          </w:p>
        </w:tc>
        <w:tc>
          <w:tcPr>
            <w:tcW w:w="315" w:type="dxa"/>
            <w:tcBorders>
              <w:top w:val="single" w:sz="4" w:space="0" w:color="000000"/>
              <w:left w:val="single" w:sz="4" w:space="0" w:color="000000"/>
              <w:bottom w:val="single" w:sz="4" w:space="0" w:color="000000"/>
            </w:tcBorders>
            <w:shd w:val="clear" w:color="auto" w:fill="FFFFFF"/>
            <w:vAlign w:val="center"/>
          </w:tcPr>
          <w:p w14:paraId="27B88268" w14:textId="77777777" w:rsidR="00203A22" w:rsidRDefault="00203A22" w:rsidP="00DD323B">
            <w:pPr>
              <w:keepNext/>
              <w:keepLines/>
              <w:jc w:val="center"/>
              <w:rPr>
                <w:rStyle w:val="None"/>
                <w:sz w:val="14"/>
                <w:szCs w:val="14"/>
                <w:lang w:val="en-US"/>
              </w:rPr>
            </w:pPr>
            <w:r>
              <w:rPr>
                <w:rStyle w:val="None"/>
                <w:sz w:val="14"/>
                <w:szCs w:val="14"/>
                <w:lang w:val="en-US"/>
              </w:rPr>
              <w:t>2</w:t>
            </w:r>
          </w:p>
        </w:tc>
        <w:tc>
          <w:tcPr>
            <w:tcW w:w="314" w:type="dxa"/>
            <w:tcBorders>
              <w:top w:val="single" w:sz="4" w:space="0" w:color="000000"/>
              <w:left w:val="single" w:sz="4" w:space="0" w:color="000000"/>
              <w:bottom w:val="single" w:sz="4" w:space="0" w:color="000000"/>
            </w:tcBorders>
            <w:shd w:val="clear" w:color="auto" w:fill="FFFFFF"/>
            <w:vAlign w:val="center"/>
          </w:tcPr>
          <w:p w14:paraId="6C6F9B15" w14:textId="77777777" w:rsidR="00203A22" w:rsidRDefault="00203A22" w:rsidP="00DD323B">
            <w:pPr>
              <w:keepNext/>
              <w:keepLines/>
              <w:jc w:val="center"/>
              <w:rPr>
                <w:rStyle w:val="None"/>
                <w:sz w:val="14"/>
                <w:szCs w:val="14"/>
                <w:lang w:val="en-US"/>
              </w:rPr>
            </w:pPr>
            <w:r>
              <w:rPr>
                <w:rStyle w:val="None"/>
                <w:sz w:val="14"/>
                <w:szCs w:val="14"/>
                <w:lang w:val="en-US"/>
              </w:rPr>
              <w:t>3</w:t>
            </w:r>
          </w:p>
        </w:tc>
        <w:tc>
          <w:tcPr>
            <w:tcW w:w="315" w:type="dxa"/>
            <w:tcBorders>
              <w:top w:val="single" w:sz="4" w:space="0" w:color="000000"/>
              <w:left w:val="single" w:sz="4" w:space="0" w:color="000000"/>
              <w:bottom w:val="single" w:sz="4" w:space="0" w:color="000000"/>
            </w:tcBorders>
            <w:shd w:val="clear" w:color="auto" w:fill="FFFFFF"/>
            <w:vAlign w:val="center"/>
          </w:tcPr>
          <w:p w14:paraId="109D6387" w14:textId="77777777" w:rsidR="00203A22" w:rsidRDefault="00203A22" w:rsidP="00DD323B">
            <w:pPr>
              <w:keepNext/>
              <w:keepLines/>
              <w:jc w:val="center"/>
              <w:rPr>
                <w:rStyle w:val="None"/>
                <w:sz w:val="14"/>
                <w:szCs w:val="14"/>
                <w:lang w:val="en-US"/>
              </w:rPr>
            </w:pPr>
            <w:r>
              <w:rPr>
                <w:rStyle w:val="None"/>
                <w:sz w:val="14"/>
                <w:szCs w:val="14"/>
                <w:lang w:val="en-US"/>
              </w:rPr>
              <w:t>4</w:t>
            </w:r>
          </w:p>
        </w:tc>
        <w:tc>
          <w:tcPr>
            <w:tcW w:w="315" w:type="dxa"/>
            <w:tcBorders>
              <w:top w:val="single" w:sz="4" w:space="0" w:color="000000"/>
              <w:left w:val="single" w:sz="4" w:space="0" w:color="000000"/>
              <w:bottom w:val="single" w:sz="4" w:space="0" w:color="000000"/>
            </w:tcBorders>
            <w:shd w:val="clear" w:color="auto" w:fill="FFFFFF"/>
            <w:vAlign w:val="center"/>
          </w:tcPr>
          <w:p w14:paraId="00FFDEEE" w14:textId="77777777" w:rsidR="00203A22" w:rsidRDefault="00203A22" w:rsidP="00DD323B">
            <w:pPr>
              <w:keepNext/>
              <w:keepLines/>
              <w:jc w:val="center"/>
              <w:rPr>
                <w:rStyle w:val="None"/>
                <w:sz w:val="14"/>
                <w:szCs w:val="14"/>
                <w:lang w:val="en-US"/>
              </w:rPr>
            </w:pPr>
            <w:r>
              <w:rPr>
                <w:rStyle w:val="None"/>
                <w:sz w:val="14"/>
                <w:szCs w:val="14"/>
                <w:lang w:val="en-US"/>
              </w:rPr>
              <w:t>5</w:t>
            </w:r>
          </w:p>
        </w:tc>
        <w:tc>
          <w:tcPr>
            <w:tcW w:w="338" w:type="dxa"/>
            <w:tcBorders>
              <w:top w:val="single" w:sz="4" w:space="0" w:color="000000"/>
              <w:left w:val="single" w:sz="4" w:space="0" w:color="000000"/>
              <w:bottom w:val="single" w:sz="4" w:space="0" w:color="000000"/>
            </w:tcBorders>
            <w:shd w:val="clear" w:color="auto" w:fill="FFFFFF"/>
            <w:vAlign w:val="center"/>
          </w:tcPr>
          <w:p w14:paraId="7317FC5E" w14:textId="77777777" w:rsidR="00203A22" w:rsidRDefault="00203A22" w:rsidP="00DD323B">
            <w:pPr>
              <w:keepNext/>
              <w:keepLines/>
              <w:jc w:val="center"/>
              <w:rPr>
                <w:rStyle w:val="None"/>
                <w:sz w:val="14"/>
                <w:szCs w:val="14"/>
                <w:lang w:val="en-US"/>
              </w:rPr>
            </w:pPr>
            <w:r>
              <w:rPr>
                <w:rStyle w:val="None"/>
                <w:sz w:val="14"/>
                <w:szCs w:val="14"/>
                <w:lang w:val="en-US"/>
              </w:rPr>
              <w:t>6</w:t>
            </w:r>
          </w:p>
        </w:tc>
        <w:tc>
          <w:tcPr>
            <w:tcW w:w="337" w:type="dxa"/>
            <w:tcBorders>
              <w:top w:val="single" w:sz="4" w:space="0" w:color="000000"/>
              <w:left w:val="single" w:sz="4" w:space="0" w:color="000000"/>
              <w:bottom w:val="single" w:sz="4" w:space="0" w:color="000000"/>
            </w:tcBorders>
            <w:shd w:val="clear" w:color="auto" w:fill="FFFFFF"/>
            <w:vAlign w:val="center"/>
          </w:tcPr>
          <w:p w14:paraId="7A398CEB" w14:textId="77777777" w:rsidR="00203A22" w:rsidRDefault="00203A22" w:rsidP="00DD323B">
            <w:pPr>
              <w:keepNext/>
              <w:keepLines/>
              <w:jc w:val="center"/>
              <w:rPr>
                <w:rStyle w:val="None"/>
                <w:sz w:val="14"/>
                <w:szCs w:val="14"/>
                <w:lang w:val="en-US"/>
              </w:rPr>
            </w:pPr>
            <w:r>
              <w:rPr>
                <w:rStyle w:val="None"/>
                <w:sz w:val="14"/>
                <w:szCs w:val="14"/>
                <w:lang w:val="en-US"/>
              </w:rPr>
              <w:t>7</w:t>
            </w:r>
          </w:p>
        </w:tc>
        <w:tc>
          <w:tcPr>
            <w:tcW w:w="391" w:type="dxa"/>
            <w:tcBorders>
              <w:top w:val="single" w:sz="4" w:space="0" w:color="000000"/>
              <w:left w:val="single" w:sz="4" w:space="0" w:color="000000"/>
              <w:bottom w:val="single" w:sz="4" w:space="0" w:color="000000"/>
            </w:tcBorders>
            <w:shd w:val="clear" w:color="auto" w:fill="FFFFFF"/>
            <w:vAlign w:val="center"/>
          </w:tcPr>
          <w:p w14:paraId="0CE018F9" w14:textId="77777777" w:rsidR="00203A22" w:rsidRDefault="00203A22" w:rsidP="00DD323B">
            <w:pPr>
              <w:keepNext/>
              <w:keepLines/>
              <w:jc w:val="center"/>
              <w:rPr>
                <w:rStyle w:val="None"/>
                <w:sz w:val="14"/>
                <w:szCs w:val="14"/>
                <w:lang w:val="en-US"/>
              </w:rPr>
            </w:pPr>
            <w:r>
              <w:rPr>
                <w:rStyle w:val="None"/>
                <w:sz w:val="14"/>
                <w:szCs w:val="14"/>
                <w:lang w:val="en-US"/>
              </w:rPr>
              <w:t>8</w:t>
            </w:r>
          </w:p>
        </w:tc>
        <w:tc>
          <w:tcPr>
            <w:tcW w:w="436" w:type="dxa"/>
            <w:tcBorders>
              <w:top w:val="single" w:sz="4" w:space="0" w:color="000000"/>
              <w:left w:val="single" w:sz="4" w:space="0" w:color="000000"/>
              <w:bottom w:val="single" w:sz="4" w:space="0" w:color="000000"/>
            </w:tcBorders>
            <w:shd w:val="clear" w:color="auto" w:fill="FFFFFF"/>
            <w:vAlign w:val="center"/>
          </w:tcPr>
          <w:p w14:paraId="0C2AB6D7" w14:textId="77777777" w:rsidR="00203A22" w:rsidRDefault="00203A22" w:rsidP="00DD323B">
            <w:pPr>
              <w:keepNext/>
              <w:keepLines/>
              <w:jc w:val="center"/>
              <w:rPr>
                <w:rStyle w:val="None"/>
                <w:sz w:val="14"/>
                <w:szCs w:val="14"/>
                <w:lang w:val="en-US"/>
              </w:rPr>
            </w:pPr>
            <w:r>
              <w:rPr>
                <w:rStyle w:val="None"/>
                <w:sz w:val="14"/>
                <w:szCs w:val="14"/>
                <w:lang w:val="en-US"/>
              </w:rPr>
              <w:t>9</w:t>
            </w:r>
          </w:p>
        </w:tc>
        <w:tc>
          <w:tcPr>
            <w:tcW w:w="412" w:type="dxa"/>
            <w:tcBorders>
              <w:top w:val="single" w:sz="4" w:space="0" w:color="000000"/>
              <w:left w:val="single" w:sz="4" w:space="0" w:color="000000"/>
              <w:bottom w:val="single" w:sz="4" w:space="0" w:color="000000"/>
            </w:tcBorders>
            <w:shd w:val="clear" w:color="auto" w:fill="FFFFFF"/>
            <w:vAlign w:val="center"/>
          </w:tcPr>
          <w:p w14:paraId="5DB51A4A" w14:textId="77777777" w:rsidR="00203A22" w:rsidRDefault="00203A22" w:rsidP="00DD323B">
            <w:pPr>
              <w:keepNext/>
              <w:keepLines/>
              <w:jc w:val="center"/>
              <w:rPr>
                <w:rStyle w:val="None"/>
                <w:sz w:val="14"/>
                <w:szCs w:val="14"/>
                <w:lang w:val="en-US"/>
              </w:rPr>
            </w:pPr>
            <w:r>
              <w:rPr>
                <w:rStyle w:val="None"/>
                <w:sz w:val="14"/>
                <w:szCs w:val="14"/>
                <w:lang w:val="en-US"/>
              </w:rPr>
              <w:t>10</w:t>
            </w:r>
          </w:p>
        </w:tc>
        <w:tc>
          <w:tcPr>
            <w:tcW w:w="403" w:type="dxa"/>
            <w:tcBorders>
              <w:top w:val="single" w:sz="4" w:space="0" w:color="000000"/>
              <w:left w:val="single" w:sz="4" w:space="0" w:color="000000"/>
              <w:bottom w:val="single" w:sz="4" w:space="0" w:color="000000"/>
            </w:tcBorders>
            <w:shd w:val="clear" w:color="auto" w:fill="FFFFFF"/>
            <w:vAlign w:val="center"/>
          </w:tcPr>
          <w:p w14:paraId="07BE6DF7" w14:textId="77777777" w:rsidR="00203A22" w:rsidRDefault="00203A22" w:rsidP="00DD323B">
            <w:pPr>
              <w:keepNext/>
              <w:keepLines/>
              <w:jc w:val="center"/>
              <w:rPr>
                <w:rStyle w:val="None"/>
                <w:sz w:val="14"/>
                <w:szCs w:val="14"/>
                <w:lang w:val="en-US"/>
              </w:rPr>
            </w:pPr>
            <w:r>
              <w:rPr>
                <w:rStyle w:val="None"/>
                <w:sz w:val="14"/>
                <w:szCs w:val="14"/>
                <w:lang w:val="en-US"/>
              </w:rPr>
              <w:t>11</w:t>
            </w:r>
          </w:p>
        </w:tc>
        <w:tc>
          <w:tcPr>
            <w:tcW w:w="391" w:type="dxa"/>
            <w:tcBorders>
              <w:top w:val="single" w:sz="4" w:space="0" w:color="000000"/>
              <w:left w:val="single" w:sz="4" w:space="0" w:color="000000"/>
              <w:bottom w:val="single" w:sz="4" w:space="0" w:color="000000"/>
            </w:tcBorders>
            <w:shd w:val="clear" w:color="auto" w:fill="FFFFFF"/>
            <w:vAlign w:val="center"/>
          </w:tcPr>
          <w:p w14:paraId="2F8D517B" w14:textId="77777777" w:rsidR="00203A22" w:rsidRDefault="00203A22" w:rsidP="00DD323B">
            <w:pPr>
              <w:keepNext/>
              <w:keepLines/>
              <w:jc w:val="center"/>
              <w:rPr>
                <w:rStyle w:val="None"/>
                <w:sz w:val="14"/>
                <w:szCs w:val="14"/>
                <w:lang w:val="en-US"/>
              </w:rPr>
            </w:pPr>
            <w:r>
              <w:rPr>
                <w:rStyle w:val="None"/>
                <w:sz w:val="14"/>
                <w:szCs w:val="14"/>
                <w:lang w:val="en-US"/>
              </w:rPr>
              <w:t>12</w:t>
            </w:r>
          </w:p>
        </w:tc>
        <w:tc>
          <w:tcPr>
            <w:tcW w:w="381" w:type="dxa"/>
            <w:tcBorders>
              <w:top w:val="single" w:sz="4" w:space="0" w:color="000000"/>
              <w:left w:val="single" w:sz="4" w:space="0" w:color="000000"/>
              <w:bottom w:val="single" w:sz="4" w:space="0" w:color="000000"/>
            </w:tcBorders>
            <w:shd w:val="clear" w:color="auto" w:fill="FFFFFF"/>
            <w:vAlign w:val="center"/>
          </w:tcPr>
          <w:p w14:paraId="5B7BB0BA" w14:textId="77777777" w:rsidR="00203A22" w:rsidRDefault="00203A22" w:rsidP="00DD323B">
            <w:pPr>
              <w:keepNext/>
              <w:keepLines/>
              <w:jc w:val="center"/>
              <w:rPr>
                <w:rStyle w:val="None"/>
                <w:sz w:val="14"/>
                <w:szCs w:val="14"/>
                <w:lang w:val="en-US"/>
              </w:rPr>
            </w:pPr>
            <w:r>
              <w:rPr>
                <w:rStyle w:val="None"/>
                <w:sz w:val="14"/>
                <w:szCs w:val="14"/>
                <w:lang w:val="en-US"/>
              </w:rPr>
              <w:t>13</w:t>
            </w:r>
          </w:p>
        </w:tc>
        <w:tc>
          <w:tcPr>
            <w:tcW w:w="370" w:type="dxa"/>
            <w:tcBorders>
              <w:top w:val="single" w:sz="4" w:space="0" w:color="000000"/>
              <w:left w:val="single" w:sz="4" w:space="0" w:color="000000"/>
              <w:bottom w:val="single" w:sz="4" w:space="0" w:color="000000"/>
            </w:tcBorders>
            <w:shd w:val="clear" w:color="auto" w:fill="FFFFFF"/>
            <w:vAlign w:val="center"/>
          </w:tcPr>
          <w:p w14:paraId="3337AFA1" w14:textId="77777777" w:rsidR="00203A22" w:rsidRDefault="00203A22" w:rsidP="00DD323B">
            <w:pPr>
              <w:keepNext/>
              <w:keepLines/>
              <w:jc w:val="center"/>
              <w:rPr>
                <w:rStyle w:val="None"/>
                <w:sz w:val="14"/>
                <w:szCs w:val="14"/>
                <w:lang w:val="en-US"/>
              </w:rPr>
            </w:pPr>
            <w:r>
              <w:rPr>
                <w:rStyle w:val="None"/>
                <w:sz w:val="14"/>
                <w:szCs w:val="14"/>
                <w:lang w:val="en-US"/>
              </w:rPr>
              <w:t>14</w:t>
            </w:r>
          </w:p>
        </w:tc>
        <w:tc>
          <w:tcPr>
            <w:tcW w:w="370" w:type="dxa"/>
            <w:tcBorders>
              <w:top w:val="single" w:sz="4" w:space="0" w:color="000000"/>
              <w:left w:val="single" w:sz="4" w:space="0" w:color="000000"/>
              <w:bottom w:val="single" w:sz="4" w:space="0" w:color="000000"/>
            </w:tcBorders>
            <w:shd w:val="clear" w:color="auto" w:fill="FFFFFF"/>
            <w:vAlign w:val="center"/>
          </w:tcPr>
          <w:p w14:paraId="7A598814" w14:textId="77777777" w:rsidR="00203A22" w:rsidRDefault="00203A22" w:rsidP="00DD323B">
            <w:pPr>
              <w:keepNext/>
              <w:keepLines/>
              <w:jc w:val="center"/>
              <w:rPr>
                <w:rStyle w:val="None"/>
                <w:sz w:val="14"/>
                <w:szCs w:val="14"/>
                <w:lang w:val="en-US"/>
              </w:rPr>
            </w:pPr>
            <w:r>
              <w:rPr>
                <w:rStyle w:val="None"/>
                <w:sz w:val="14"/>
                <w:szCs w:val="14"/>
                <w:lang w:val="en-US"/>
              </w:rPr>
              <w:t>15</w:t>
            </w:r>
          </w:p>
        </w:tc>
        <w:tc>
          <w:tcPr>
            <w:tcW w:w="423" w:type="dxa"/>
            <w:tcBorders>
              <w:top w:val="single" w:sz="4" w:space="0" w:color="000000"/>
              <w:left w:val="single" w:sz="4" w:space="0" w:color="000000"/>
              <w:bottom w:val="single" w:sz="4" w:space="0" w:color="000000"/>
            </w:tcBorders>
            <w:shd w:val="clear" w:color="auto" w:fill="FFFFFF"/>
            <w:vAlign w:val="center"/>
          </w:tcPr>
          <w:p w14:paraId="57C66A3D" w14:textId="77777777" w:rsidR="00203A22" w:rsidRDefault="00203A22" w:rsidP="00DD323B">
            <w:pPr>
              <w:keepNext/>
              <w:keepLines/>
              <w:jc w:val="center"/>
              <w:rPr>
                <w:rStyle w:val="None"/>
                <w:sz w:val="14"/>
                <w:szCs w:val="14"/>
                <w:lang w:val="en-US"/>
              </w:rPr>
            </w:pPr>
            <w:r>
              <w:rPr>
                <w:rStyle w:val="None"/>
                <w:sz w:val="14"/>
                <w:szCs w:val="14"/>
                <w:lang w:val="en-US"/>
              </w:rPr>
              <w:t>16</w:t>
            </w:r>
          </w:p>
        </w:tc>
        <w:tc>
          <w:tcPr>
            <w:tcW w:w="402" w:type="dxa"/>
            <w:tcBorders>
              <w:top w:val="single" w:sz="4" w:space="0" w:color="000000"/>
              <w:left w:val="single" w:sz="4" w:space="0" w:color="000000"/>
              <w:bottom w:val="single" w:sz="4" w:space="0" w:color="000000"/>
            </w:tcBorders>
            <w:shd w:val="clear" w:color="auto" w:fill="FFFFFF"/>
            <w:vAlign w:val="center"/>
          </w:tcPr>
          <w:p w14:paraId="71E6937A" w14:textId="77777777" w:rsidR="00203A22" w:rsidRDefault="00203A22" w:rsidP="00DD323B">
            <w:pPr>
              <w:keepNext/>
              <w:keepLines/>
              <w:jc w:val="center"/>
              <w:rPr>
                <w:rStyle w:val="None"/>
                <w:sz w:val="14"/>
                <w:szCs w:val="14"/>
                <w:lang w:val="en-US"/>
              </w:rPr>
            </w:pPr>
            <w:r>
              <w:rPr>
                <w:rStyle w:val="None"/>
                <w:sz w:val="14"/>
                <w:szCs w:val="14"/>
                <w:lang w:val="en-US"/>
              </w:rPr>
              <w:t>17</w:t>
            </w:r>
          </w:p>
        </w:tc>
        <w:tc>
          <w:tcPr>
            <w:tcW w:w="403" w:type="dxa"/>
            <w:tcBorders>
              <w:top w:val="single" w:sz="4" w:space="0" w:color="000000"/>
              <w:left w:val="single" w:sz="4" w:space="0" w:color="000000"/>
              <w:bottom w:val="single" w:sz="4" w:space="0" w:color="000000"/>
            </w:tcBorders>
            <w:shd w:val="clear" w:color="auto" w:fill="FFFFFF"/>
            <w:vAlign w:val="center"/>
          </w:tcPr>
          <w:p w14:paraId="35B4B00C" w14:textId="77777777" w:rsidR="00203A22" w:rsidRDefault="00203A22" w:rsidP="00DD323B">
            <w:pPr>
              <w:keepNext/>
              <w:keepLines/>
              <w:jc w:val="center"/>
              <w:rPr>
                <w:rStyle w:val="None"/>
                <w:sz w:val="14"/>
                <w:szCs w:val="14"/>
                <w:lang w:val="en-US"/>
              </w:rPr>
            </w:pPr>
            <w:r>
              <w:rPr>
                <w:rStyle w:val="None"/>
                <w:sz w:val="14"/>
                <w:szCs w:val="14"/>
                <w:lang w:val="en-US"/>
              </w:rPr>
              <w:t>18</w:t>
            </w:r>
          </w:p>
        </w:tc>
        <w:tc>
          <w:tcPr>
            <w:tcW w:w="391" w:type="dxa"/>
            <w:tcBorders>
              <w:top w:val="single" w:sz="4" w:space="0" w:color="000000"/>
              <w:left w:val="single" w:sz="4" w:space="0" w:color="000000"/>
              <w:bottom w:val="single" w:sz="4" w:space="0" w:color="000000"/>
            </w:tcBorders>
            <w:shd w:val="clear" w:color="auto" w:fill="FFFFFF"/>
            <w:vAlign w:val="center"/>
          </w:tcPr>
          <w:p w14:paraId="6FD29898" w14:textId="77777777" w:rsidR="00203A22" w:rsidRDefault="00203A22" w:rsidP="00DD323B">
            <w:pPr>
              <w:keepNext/>
              <w:keepLines/>
              <w:jc w:val="center"/>
              <w:rPr>
                <w:rStyle w:val="None"/>
                <w:sz w:val="14"/>
                <w:szCs w:val="14"/>
                <w:lang w:val="en-US"/>
              </w:rPr>
            </w:pPr>
            <w:r>
              <w:rPr>
                <w:rStyle w:val="None"/>
                <w:sz w:val="14"/>
                <w:szCs w:val="14"/>
                <w:lang w:val="en-US"/>
              </w:rPr>
              <w:t>19</w:t>
            </w:r>
          </w:p>
        </w:tc>
        <w:tc>
          <w:tcPr>
            <w:tcW w:w="424" w:type="dxa"/>
            <w:tcBorders>
              <w:top w:val="single" w:sz="4" w:space="0" w:color="000000"/>
              <w:left w:val="single" w:sz="4" w:space="0" w:color="000000"/>
              <w:bottom w:val="single" w:sz="4" w:space="0" w:color="000000"/>
            </w:tcBorders>
            <w:shd w:val="clear" w:color="auto" w:fill="FFFFFF"/>
            <w:vAlign w:val="center"/>
          </w:tcPr>
          <w:p w14:paraId="7D34F00F" w14:textId="77777777" w:rsidR="00203A22" w:rsidRDefault="00203A22" w:rsidP="00DD323B">
            <w:pPr>
              <w:keepNext/>
              <w:keepLines/>
              <w:jc w:val="center"/>
              <w:rPr>
                <w:rStyle w:val="None"/>
                <w:sz w:val="14"/>
                <w:szCs w:val="14"/>
                <w:lang w:val="en-US"/>
              </w:rPr>
            </w:pPr>
            <w:r>
              <w:rPr>
                <w:rStyle w:val="None"/>
                <w:sz w:val="14"/>
                <w:szCs w:val="14"/>
                <w:lang w:val="en-US"/>
              </w:rPr>
              <w:t>20</w:t>
            </w:r>
          </w:p>
        </w:tc>
        <w:tc>
          <w:tcPr>
            <w:tcW w:w="403" w:type="dxa"/>
            <w:tcBorders>
              <w:top w:val="single" w:sz="4" w:space="0" w:color="000000"/>
              <w:left w:val="single" w:sz="4" w:space="0" w:color="000000"/>
              <w:bottom w:val="single" w:sz="4" w:space="0" w:color="000000"/>
            </w:tcBorders>
            <w:shd w:val="clear" w:color="auto" w:fill="FFFFFF"/>
            <w:vAlign w:val="center"/>
          </w:tcPr>
          <w:p w14:paraId="72EA5E91" w14:textId="77777777" w:rsidR="00203A22" w:rsidRDefault="00203A22" w:rsidP="00DD323B">
            <w:pPr>
              <w:keepNext/>
              <w:keepLines/>
              <w:jc w:val="center"/>
              <w:rPr>
                <w:rStyle w:val="None"/>
                <w:sz w:val="14"/>
                <w:szCs w:val="14"/>
                <w:lang w:val="en-US"/>
              </w:rPr>
            </w:pPr>
            <w:r>
              <w:rPr>
                <w:rStyle w:val="None"/>
                <w:sz w:val="14"/>
                <w:szCs w:val="14"/>
                <w:lang w:val="en-US"/>
              </w:rPr>
              <w:t>21</w:t>
            </w:r>
          </w:p>
        </w:tc>
        <w:tc>
          <w:tcPr>
            <w:tcW w:w="403" w:type="dxa"/>
            <w:tcBorders>
              <w:top w:val="single" w:sz="4" w:space="0" w:color="000000"/>
              <w:left w:val="single" w:sz="4" w:space="0" w:color="000000"/>
              <w:bottom w:val="single" w:sz="4" w:space="0" w:color="000000"/>
            </w:tcBorders>
            <w:vAlign w:val="center"/>
          </w:tcPr>
          <w:p w14:paraId="243AC8E7" w14:textId="77777777" w:rsidR="00203A22" w:rsidRDefault="00203A22" w:rsidP="00DD323B">
            <w:pPr>
              <w:keepNext/>
              <w:keepLines/>
              <w:jc w:val="center"/>
              <w:rPr>
                <w:rStyle w:val="None"/>
                <w:sz w:val="14"/>
                <w:szCs w:val="14"/>
                <w:lang w:val="en-US"/>
              </w:rPr>
            </w:pPr>
            <w:r>
              <w:rPr>
                <w:rStyle w:val="None"/>
                <w:sz w:val="14"/>
                <w:szCs w:val="14"/>
                <w:lang w:val="en-US"/>
              </w:rPr>
              <w:t>22</w:t>
            </w:r>
          </w:p>
        </w:tc>
        <w:tc>
          <w:tcPr>
            <w:tcW w:w="551" w:type="dxa"/>
            <w:tcBorders>
              <w:top w:val="single" w:sz="4" w:space="0" w:color="000000"/>
              <w:left w:val="single" w:sz="4" w:space="0" w:color="000000"/>
              <w:bottom w:val="single" w:sz="4" w:space="0" w:color="000000"/>
              <w:right w:val="single" w:sz="4" w:space="0" w:color="000000"/>
            </w:tcBorders>
            <w:vAlign w:val="center"/>
          </w:tcPr>
          <w:p w14:paraId="7E3A12DE" w14:textId="77777777" w:rsidR="00203A22" w:rsidRDefault="00203A22" w:rsidP="00DD323B">
            <w:pPr>
              <w:keepNext/>
              <w:keepLines/>
              <w:jc w:val="center"/>
            </w:pPr>
            <w:r>
              <w:rPr>
                <w:rStyle w:val="None"/>
                <w:sz w:val="14"/>
                <w:szCs w:val="14"/>
                <w:lang w:val="en-US"/>
              </w:rPr>
              <w:t>23</w:t>
            </w:r>
          </w:p>
        </w:tc>
      </w:tr>
      <w:tr w:rsidR="005F4B92" w14:paraId="03C4D34C" w14:textId="77777777" w:rsidTr="005F4B92">
        <w:trPr>
          <w:gridAfter w:val="1"/>
          <w:wAfter w:w="8" w:type="dxa"/>
          <w:trHeight w:val="529"/>
        </w:trPr>
        <w:tc>
          <w:tcPr>
            <w:tcW w:w="2476" w:type="dxa"/>
            <w:tcBorders>
              <w:top w:val="single" w:sz="4" w:space="0" w:color="000000"/>
              <w:left w:val="single" w:sz="4" w:space="0" w:color="000000"/>
              <w:bottom w:val="single" w:sz="4" w:space="0" w:color="000000"/>
            </w:tcBorders>
            <w:shd w:val="clear" w:color="auto" w:fill="FFFFFF"/>
            <w:vAlign w:val="center"/>
          </w:tcPr>
          <w:p w14:paraId="3F589126" w14:textId="77777777" w:rsidR="00203A22" w:rsidRDefault="00203A22" w:rsidP="00DD323B">
            <w:pPr>
              <w:keepNext/>
              <w:keepLines/>
            </w:pPr>
            <w:r>
              <w:rPr>
                <w:rStyle w:val="None"/>
                <w:sz w:val="18"/>
                <w:szCs w:val="18"/>
                <w:lang w:val="en-US"/>
              </w:rPr>
              <w:t>1. Recruitment of experts</w:t>
            </w:r>
          </w:p>
        </w:tc>
        <w:tc>
          <w:tcPr>
            <w:tcW w:w="315" w:type="dxa"/>
            <w:tcBorders>
              <w:top w:val="single" w:sz="4" w:space="0" w:color="000000"/>
              <w:left w:val="single" w:sz="4" w:space="0" w:color="000000"/>
              <w:bottom w:val="single" w:sz="4" w:space="0" w:color="000000"/>
            </w:tcBorders>
            <w:shd w:val="clear" w:color="auto" w:fill="999999"/>
            <w:vAlign w:val="center"/>
          </w:tcPr>
          <w:p w14:paraId="43C54741"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024B6A66"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223D801B"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2C68565E"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FFFFFF"/>
            <w:vAlign w:val="center"/>
          </w:tcPr>
          <w:p w14:paraId="39C6145D"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7F0800CF"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7113FAE9"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FFFFFF"/>
            <w:vAlign w:val="center"/>
          </w:tcPr>
          <w:p w14:paraId="268DA446"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FFFFFF"/>
            <w:vAlign w:val="center"/>
          </w:tcPr>
          <w:p w14:paraId="22E3CD00"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183C3BFD"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59D61B38"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FFFFFF"/>
            <w:vAlign w:val="center"/>
          </w:tcPr>
          <w:p w14:paraId="05DF2A09"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5D5C43F4"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37A7D9AF"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FFFFFF"/>
            <w:vAlign w:val="center"/>
          </w:tcPr>
          <w:p w14:paraId="3D56D395"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FFFFFF"/>
            <w:vAlign w:val="center"/>
          </w:tcPr>
          <w:p w14:paraId="46FFE022"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61464C7F"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60F17D4D"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2B60D2A8"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3C7E4F26"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54AF2FA8"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5FC42B7A" w14:textId="77777777" w:rsidR="00203A22" w:rsidRDefault="00203A22" w:rsidP="00DD323B">
            <w:pPr>
              <w:snapToGrid w:val="0"/>
            </w:pPr>
          </w:p>
        </w:tc>
      </w:tr>
      <w:tr w:rsidR="005F4B92" w14:paraId="116992DD" w14:textId="77777777" w:rsidTr="005F4B92">
        <w:trPr>
          <w:gridAfter w:val="1"/>
          <w:wAfter w:w="8" w:type="dxa"/>
          <w:trHeight w:val="974"/>
        </w:trPr>
        <w:tc>
          <w:tcPr>
            <w:tcW w:w="2476" w:type="dxa"/>
            <w:tcBorders>
              <w:left w:val="single" w:sz="4" w:space="0" w:color="000000"/>
              <w:bottom w:val="single" w:sz="4" w:space="0" w:color="000000"/>
            </w:tcBorders>
            <w:shd w:val="clear" w:color="auto" w:fill="FFFFFF"/>
            <w:vAlign w:val="center"/>
          </w:tcPr>
          <w:p w14:paraId="30EAB445" w14:textId="77777777" w:rsidR="00203A22" w:rsidRDefault="00203A22" w:rsidP="00DD323B">
            <w:pPr>
              <w:keepNext/>
              <w:keepLines/>
            </w:pPr>
            <w:r>
              <w:rPr>
                <w:sz w:val="18"/>
                <w:szCs w:val="18"/>
              </w:rPr>
              <w:t>2. Creation and adoption of detailed work programme</w:t>
            </w:r>
          </w:p>
        </w:tc>
        <w:tc>
          <w:tcPr>
            <w:tcW w:w="315" w:type="dxa"/>
            <w:tcBorders>
              <w:left w:val="single" w:sz="4" w:space="0" w:color="000000"/>
              <w:bottom w:val="single" w:sz="4" w:space="0" w:color="000000"/>
            </w:tcBorders>
            <w:shd w:val="clear" w:color="auto" w:fill="FFFFFF"/>
            <w:vAlign w:val="center"/>
          </w:tcPr>
          <w:p w14:paraId="3712949B" w14:textId="77777777" w:rsidR="00203A22" w:rsidRDefault="00203A22" w:rsidP="00DD323B">
            <w:pPr>
              <w:snapToGrid w:val="0"/>
            </w:pPr>
          </w:p>
        </w:tc>
        <w:tc>
          <w:tcPr>
            <w:tcW w:w="314" w:type="dxa"/>
            <w:tcBorders>
              <w:left w:val="single" w:sz="4" w:space="0" w:color="000000"/>
              <w:bottom w:val="single" w:sz="4" w:space="0" w:color="000000"/>
            </w:tcBorders>
            <w:shd w:val="clear" w:color="auto" w:fill="999999"/>
            <w:vAlign w:val="center"/>
          </w:tcPr>
          <w:p w14:paraId="5EDBDA78" w14:textId="77777777" w:rsidR="00203A22" w:rsidRDefault="00203A22" w:rsidP="00DD323B">
            <w:pPr>
              <w:snapToGrid w:val="0"/>
            </w:pPr>
          </w:p>
        </w:tc>
        <w:tc>
          <w:tcPr>
            <w:tcW w:w="315" w:type="dxa"/>
            <w:tcBorders>
              <w:left w:val="single" w:sz="4" w:space="0" w:color="000000"/>
              <w:bottom w:val="single" w:sz="4" w:space="0" w:color="000000"/>
            </w:tcBorders>
            <w:shd w:val="clear" w:color="auto" w:fill="999999"/>
            <w:vAlign w:val="center"/>
          </w:tcPr>
          <w:p w14:paraId="33591778" w14:textId="77777777" w:rsidR="00203A22" w:rsidRDefault="00203A22" w:rsidP="00DD323B">
            <w:pPr>
              <w:keepNext/>
              <w:keepLines/>
              <w:jc w:val="center"/>
              <w:rPr>
                <w:rStyle w:val="None"/>
                <w:sz w:val="18"/>
                <w:szCs w:val="18"/>
                <w:lang w:val="en-US"/>
              </w:rPr>
            </w:pPr>
            <w:r>
              <w:rPr>
                <w:rStyle w:val="None"/>
                <w:sz w:val="12"/>
                <w:szCs w:val="12"/>
                <w:lang w:val="en-US"/>
              </w:rPr>
              <w:t>MS</w:t>
            </w:r>
          </w:p>
          <w:p w14:paraId="7BE62351" w14:textId="77777777" w:rsidR="00203A22" w:rsidRDefault="00203A22" w:rsidP="00DD323B">
            <w:r>
              <w:rPr>
                <w:rStyle w:val="None"/>
                <w:sz w:val="18"/>
                <w:szCs w:val="18"/>
                <w:lang w:val="en-US"/>
              </w:rPr>
              <w:t>A</w:t>
            </w:r>
          </w:p>
        </w:tc>
        <w:tc>
          <w:tcPr>
            <w:tcW w:w="315" w:type="dxa"/>
            <w:tcBorders>
              <w:left w:val="single" w:sz="4" w:space="0" w:color="000000"/>
              <w:bottom w:val="single" w:sz="4" w:space="0" w:color="000000"/>
            </w:tcBorders>
            <w:shd w:val="clear" w:color="auto" w:fill="FFFFFF"/>
            <w:vAlign w:val="center"/>
          </w:tcPr>
          <w:p w14:paraId="46E5DAA1" w14:textId="77777777" w:rsidR="00203A22" w:rsidRDefault="00203A22" w:rsidP="00DD323B">
            <w:pPr>
              <w:snapToGrid w:val="0"/>
            </w:pPr>
          </w:p>
        </w:tc>
        <w:tc>
          <w:tcPr>
            <w:tcW w:w="338" w:type="dxa"/>
            <w:tcBorders>
              <w:left w:val="single" w:sz="4" w:space="0" w:color="000000"/>
              <w:bottom w:val="single" w:sz="4" w:space="0" w:color="000000"/>
            </w:tcBorders>
            <w:shd w:val="clear" w:color="auto" w:fill="FFFFFF"/>
            <w:vAlign w:val="center"/>
          </w:tcPr>
          <w:p w14:paraId="7B01243B" w14:textId="77777777" w:rsidR="00203A22" w:rsidRDefault="00203A22" w:rsidP="00DD323B">
            <w:pPr>
              <w:snapToGrid w:val="0"/>
            </w:pPr>
          </w:p>
        </w:tc>
        <w:tc>
          <w:tcPr>
            <w:tcW w:w="337" w:type="dxa"/>
            <w:tcBorders>
              <w:left w:val="single" w:sz="4" w:space="0" w:color="000000"/>
              <w:bottom w:val="single" w:sz="4" w:space="0" w:color="000000"/>
            </w:tcBorders>
            <w:shd w:val="clear" w:color="auto" w:fill="FFFFFF"/>
            <w:vAlign w:val="center"/>
          </w:tcPr>
          <w:p w14:paraId="75D7F227"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7871B2C8" w14:textId="77777777" w:rsidR="00203A22" w:rsidRDefault="00203A22" w:rsidP="00DD323B">
            <w:pPr>
              <w:snapToGrid w:val="0"/>
            </w:pPr>
          </w:p>
        </w:tc>
        <w:tc>
          <w:tcPr>
            <w:tcW w:w="436" w:type="dxa"/>
            <w:tcBorders>
              <w:left w:val="single" w:sz="4" w:space="0" w:color="000000"/>
              <w:bottom w:val="single" w:sz="4" w:space="0" w:color="000000"/>
            </w:tcBorders>
            <w:shd w:val="clear" w:color="auto" w:fill="FFFFFF"/>
            <w:vAlign w:val="center"/>
          </w:tcPr>
          <w:p w14:paraId="3CE4A329" w14:textId="77777777" w:rsidR="00203A22" w:rsidRDefault="00203A22" w:rsidP="00DD323B">
            <w:pPr>
              <w:snapToGrid w:val="0"/>
            </w:pPr>
          </w:p>
        </w:tc>
        <w:tc>
          <w:tcPr>
            <w:tcW w:w="412" w:type="dxa"/>
            <w:tcBorders>
              <w:left w:val="single" w:sz="4" w:space="0" w:color="000000"/>
              <w:bottom w:val="single" w:sz="4" w:space="0" w:color="000000"/>
            </w:tcBorders>
            <w:shd w:val="clear" w:color="auto" w:fill="FFFFFF"/>
            <w:vAlign w:val="center"/>
          </w:tcPr>
          <w:p w14:paraId="2A542327"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78D55F0A"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2CABF49A" w14:textId="77777777" w:rsidR="00203A22" w:rsidRDefault="00203A22" w:rsidP="00DD323B">
            <w:pPr>
              <w:snapToGrid w:val="0"/>
            </w:pPr>
          </w:p>
        </w:tc>
        <w:tc>
          <w:tcPr>
            <w:tcW w:w="381" w:type="dxa"/>
            <w:tcBorders>
              <w:left w:val="single" w:sz="4" w:space="0" w:color="000000"/>
              <w:bottom w:val="single" w:sz="4" w:space="0" w:color="000000"/>
            </w:tcBorders>
            <w:shd w:val="clear" w:color="auto" w:fill="FFFFFF"/>
            <w:vAlign w:val="center"/>
          </w:tcPr>
          <w:p w14:paraId="5BD3760F"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5A650D8A"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71C55D24" w14:textId="77777777" w:rsidR="00203A22" w:rsidRDefault="00203A22" w:rsidP="00DD323B">
            <w:pPr>
              <w:snapToGrid w:val="0"/>
            </w:pPr>
          </w:p>
        </w:tc>
        <w:tc>
          <w:tcPr>
            <w:tcW w:w="423" w:type="dxa"/>
            <w:tcBorders>
              <w:left w:val="single" w:sz="4" w:space="0" w:color="000000"/>
              <w:bottom w:val="single" w:sz="4" w:space="0" w:color="000000"/>
            </w:tcBorders>
            <w:shd w:val="clear" w:color="auto" w:fill="FFFFFF"/>
            <w:vAlign w:val="center"/>
          </w:tcPr>
          <w:p w14:paraId="3B933181" w14:textId="77777777" w:rsidR="00203A22" w:rsidRDefault="00203A22" w:rsidP="00DD323B">
            <w:pPr>
              <w:snapToGrid w:val="0"/>
            </w:pPr>
          </w:p>
        </w:tc>
        <w:tc>
          <w:tcPr>
            <w:tcW w:w="402" w:type="dxa"/>
            <w:tcBorders>
              <w:left w:val="single" w:sz="4" w:space="0" w:color="000000"/>
              <w:bottom w:val="single" w:sz="4" w:space="0" w:color="000000"/>
            </w:tcBorders>
            <w:shd w:val="clear" w:color="auto" w:fill="FFFFFF"/>
            <w:vAlign w:val="center"/>
          </w:tcPr>
          <w:p w14:paraId="18DEEC6B"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3B209472"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6BEBAF81" w14:textId="77777777" w:rsidR="00203A22" w:rsidRDefault="00203A22" w:rsidP="00DD323B">
            <w:pPr>
              <w:snapToGrid w:val="0"/>
            </w:pPr>
          </w:p>
        </w:tc>
        <w:tc>
          <w:tcPr>
            <w:tcW w:w="424" w:type="dxa"/>
            <w:tcBorders>
              <w:left w:val="single" w:sz="4" w:space="0" w:color="000000"/>
              <w:bottom w:val="single" w:sz="4" w:space="0" w:color="000000"/>
            </w:tcBorders>
            <w:shd w:val="clear" w:color="auto" w:fill="FFFFFF"/>
            <w:vAlign w:val="center"/>
          </w:tcPr>
          <w:p w14:paraId="4BB8DCC0"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0DF99961" w14:textId="77777777" w:rsidR="00203A22" w:rsidRDefault="00203A22" w:rsidP="00DD323B">
            <w:pPr>
              <w:snapToGrid w:val="0"/>
            </w:pPr>
          </w:p>
        </w:tc>
        <w:tc>
          <w:tcPr>
            <w:tcW w:w="403" w:type="dxa"/>
            <w:tcBorders>
              <w:left w:val="single" w:sz="4" w:space="0" w:color="000000"/>
              <w:bottom w:val="single" w:sz="4" w:space="0" w:color="000000"/>
            </w:tcBorders>
            <w:vAlign w:val="center"/>
          </w:tcPr>
          <w:p w14:paraId="3B7DD9BB" w14:textId="77777777" w:rsidR="00203A22" w:rsidRDefault="00203A22" w:rsidP="00DD323B">
            <w:pPr>
              <w:snapToGrid w:val="0"/>
            </w:pPr>
          </w:p>
        </w:tc>
        <w:tc>
          <w:tcPr>
            <w:tcW w:w="551" w:type="dxa"/>
            <w:tcBorders>
              <w:left w:val="single" w:sz="4" w:space="0" w:color="000000"/>
              <w:bottom w:val="single" w:sz="4" w:space="0" w:color="000000"/>
              <w:right w:val="single" w:sz="4" w:space="0" w:color="000000"/>
            </w:tcBorders>
            <w:vAlign w:val="center"/>
          </w:tcPr>
          <w:p w14:paraId="6616BD50" w14:textId="77777777" w:rsidR="00203A22" w:rsidRDefault="00203A22" w:rsidP="00DD323B">
            <w:pPr>
              <w:snapToGrid w:val="0"/>
            </w:pPr>
          </w:p>
        </w:tc>
      </w:tr>
      <w:tr w:rsidR="005F4B92" w14:paraId="71039FBA" w14:textId="77777777" w:rsidTr="005F4B92">
        <w:trPr>
          <w:gridAfter w:val="1"/>
          <w:wAfter w:w="8" w:type="dxa"/>
          <w:trHeight w:val="643"/>
        </w:trPr>
        <w:tc>
          <w:tcPr>
            <w:tcW w:w="2476" w:type="dxa"/>
            <w:tcBorders>
              <w:top w:val="single" w:sz="4" w:space="0" w:color="000000"/>
              <w:left w:val="single" w:sz="4" w:space="0" w:color="000000"/>
              <w:bottom w:val="single" w:sz="4" w:space="0" w:color="000000"/>
            </w:tcBorders>
            <w:shd w:val="clear" w:color="auto" w:fill="FFFFFF"/>
            <w:vAlign w:val="center"/>
          </w:tcPr>
          <w:p w14:paraId="1A33D1DF" w14:textId="77777777" w:rsidR="00203A22" w:rsidRDefault="00203A22" w:rsidP="00DD323B">
            <w:pPr>
              <w:keepNext/>
              <w:keepLines/>
            </w:pPr>
            <w:r>
              <w:rPr>
                <w:rStyle w:val="None"/>
                <w:sz w:val="18"/>
                <w:szCs w:val="18"/>
                <w:lang w:val="en-US"/>
              </w:rPr>
              <w:t>3.Creation of dedicated WG to support the activity</w:t>
            </w:r>
          </w:p>
        </w:tc>
        <w:tc>
          <w:tcPr>
            <w:tcW w:w="315" w:type="dxa"/>
            <w:tcBorders>
              <w:top w:val="single" w:sz="4" w:space="0" w:color="000000"/>
              <w:left w:val="single" w:sz="4" w:space="0" w:color="000000"/>
              <w:bottom w:val="single" w:sz="4" w:space="0" w:color="000000"/>
            </w:tcBorders>
            <w:shd w:val="clear" w:color="auto" w:fill="FFFFFF"/>
            <w:vAlign w:val="center"/>
          </w:tcPr>
          <w:p w14:paraId="51072A95"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999999"/>
            <w:vAlign w:val="center"/>
          </w:tcPr>
          <w:p w14:paraId="1AF9766A"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999999"/>
            <w:vAlign w:val="center"/>
          </w:tcPr>
          <w:p w14:paraId="6F4083A4"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19072131"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FFFFFF"/>
            <w:vAlign w:val="center"/>
          </w:tcPr>
          <w:p w14:paraId="41911CF5"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7710B9C5"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57B3A171"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FFFFFF"/>
            <w:vAlign w:val="center"/>
          </w:tcPr>
          <w:p w14:paraId="21455507"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FFFFFF"/>
            <w:vAlign w:val="center"/>
          </w:tcPr>
          <w:p w14:paraId="7BDBB35F"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367D4ECE"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00450217"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FFFFFF"/>
            <w:vAlign w:val="center"/>
          </w:tcPr>
          <w:p w14:paraId="726DEA3E"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7DC04E13"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55801960"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FFFFFF"/>
            <w:vAlign w:val="center"/>
          </w:tcPr>
          <w:p w14:paraId="2E5A5610"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FFFFFF"/>
            <w:vAlign w:val="center"/>
          </w:tcPr>
          <w:p w14:paraId="5AA463A6"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6F8FCE37"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7AE6F7EE"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09C271A8"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038EE7D1"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1C5FEFBB"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277C9241" w14:textId="77777777" w:rsidR="00203A22" w:rsidRDefault="00203A22" w:rsidP="00DD323B">
            <w:pPr>
              <w:snapToGrid w:val="0"/>
            </w:pPr>
          </w:p>
        </w:tc>
      </w:tr>
      <w:tr w:rsidR="005F4B92" w14:paraId="58A8DC22" w14:textId="77777777" w:rsidTr="005F4B92">
        <w:trPr>
          <w:gridAfter w:val="1"/>
          <w:wAfter w:w="8" w:type="dxa"/>
          <w:trHeight w:val="643"/>
        </w:trPr>
        <w:tc>
          <w:tcPr>
            <w:tcW w:w="2476" w:type="dxa"/>
            <w:tcBorders>
              <w:top w:val="single" w:sz="4" w:space="0" w:color="000000"/>
              <w:left w:val="single" w:sz="4" w:space="0" w:color="000000"/>
              <w:bottom w:val="single" w:sz="4" w:space="0" w:color="000000"/>
            </w:tcBorders>
            <w:shd w:val="clear" w:color="auto" w:fill="FFFFFF"/>
            <w:vAlign w:val="center"/>
          </w:tcPr>
          <w:p w14:paraId="331393CA" w14:textId="77777777" w:rsidR="00203A22" w:rsidRDefault="00203A22" w:rsidP="00DD323B">
            <w:pPr>
              <w:keepNext/>
              <w:keepLines/>
            </w:pPr>
            <w:r>
              <w:rPr>
                <w:rStyle w:val="None"/>
                <w:sz w:val="18"/>
                <w:szCs w:val="18"/>
                <w:lang w:val="en-US"/>
              </w:rPr>
              <w:t>4.Drafting and launch of project website</w:t>
            </w:r>
          </w:p>
        </w:tc>
        <w:tc>
          <w:tcPr>
            <w:tcW w:w="315" w:type="dxa"/>
            <w:tcBorders>
              <w:top w:val="single" w:sz="4" w:space="0" w:color="000000"/>
              <w:left w:val="single" w:sz="4" w:space="0" w:color="000000"/>
              <w:bottom w:val="single" w:sz="4" w:space="0" w:color="000000"/>
            </w:tcBorders>
            <w:shd w:val="clear" w:color="auto" w:fill="FFFFFF"/>
            <w:vAlign w:val="center"/>
          </w:tcPr>
          <w:p w14:paraId="1119718B"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999999"/>
            <w:vAlign w:val="center"/>
          </w:tcPr>
          <w:p w14:paraId="1825AE13"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999999"/>
            <w:vAlign w:val="center"/>
          </w:tcPr>
          <w:p w14:paraId="7893DACD"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999999"/>
            <w:vAlign w:val="center"/>
          </w:tcPr>
          <w:p w14:paraId="5B3DEAC0" w14:textId="77777777" w:rsidR="00203A22" w:rsidRDefault="00203A22" w:rsidP="00DD323B">
            <w:pPr>
              <w:rPr>
                <w:sz w:val="18"/>
                <w:szCs w:val="18"/>
              </w:rPr>
            </w:pPr>
            <w:r>
              <w:rPr>
                <w:sz w:val="12"/>
                <w:szCs w:val="12"/>
              </w:rPr>
              <w:t>MS</w:t>
            </w:r>
          </w:p>
          <w:p w14:paraId="7163A063" w14:textId="77777777" w:rsidR="00203A22" w:rsidRDefault="00203A22" w:rsidP="00DD323B">
            <w:r>
              <w:rPr>
                <w:sz w:val="18"/>
                <w:szCs w:val="18"/>
              </w:rPr>
              <w:t>B</w:t>
            </w:r>
          </w:p>
        </w:tc>
        <w:tc>
          <w:tcPr>
            <w:tcW w:w="338" w:type="dxa"/>
            <w:tcBorders>
              <w:top w:val="single" w:sz="4" w:space="0" w:color="000000"/>
              <w:left w:val="single" w:sz="4" w:space="0" w:color="000000"/>
              <w:bottom w:val="single" w:sz="4" w:space="0" w:color="000000"/>
            </w:tcBorders>
            <w:shd w:val="clear" w:color="auto" w:fill="FFFFFF"/>
            <w:vAlign w:val="center"/>
          </w:tcPr>
          <w:p w14:paraId="160CF199"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099D4956"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7213180B"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FFFFFF"/>
            <w:vAlign w:val="center"/>
          </w:tcPr>
          <w:p w14:paraId="618E59DA"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FFFFFF"/>
            <w:vAlign w:val="center"/>
          </w:tcPr>
          <w:p w14:paraId="2D19E3C7"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55440C21"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2E9228BA"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FFFFFF"/>
            <w:vAlign w:val="center"/>
          </w:tcPr>
          <w:p w14:paraId="38314023"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54764D04"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5975652C"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FFFFFF"/>
            <w:vAlign w:val="center"/>
          </w:tcPr>
          <w:p w14:paraId="07B73735"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FFFFFF"/>
            <w:vAlign w:val="center"/>
          </w:tcPr>
          <w:p w14:paraId="1ACDA726"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5E922DCD"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28F3F8E0"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329F7654"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2A8B3CE6"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3AAC08DD"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74DCE0CC" w14:textId="77777777" w:rsidR="00203A22" w:rsidRDefault="00203A22" w:rsidP="00DD323B">
            <w:pPr>
              <w:snapToGrid w:val="0"/>
            </w:pPr>
          </w:p>
        </w:tc>
      </w:tr>
      <w:tr w:rsidR="005F4B92" w14:paraId="65C5ECAB" w14:textId="77777777" w:rsidTr="005F4B92">
        <w:trPr>
          <w:gridAfter w:val="1"/>
          <w:wAfter w:w="8" w:type="dxa"/>
          <w:trHeight w:val="603"/>
        </w:trPr>
        <w:tc>
          <w:tcPr>
            <w:tcW w:w="2476" w:type="dxa"/>
            <w:tcBorders>
              <w:top w:val="single" w:sz="4" w:space="0" w:color="000000"/>
              <w:left w:val="single" w:sz="4" w:space="0" w:color="000000"/>
              <w:bottom w:val="single" w:sz="4" w:space="0" w:color="000000"/>
            </w:tcBorders>
            <w:shd w:val="clear" w:color="auto" w:fill="FFFFFF"/>
            <w:vAlign w:val="center"/>
          </w:tcPr>
          <w:p w14:paraId="6111DF17" w14:textId="77777777" w:rsidR="00203A22" w:rsidRDefault="00203A22" w:rsidP="00DD323B">
            <w:pPr>
              <w:keepNext/>
              <w:keepLines/>
            </w:pPr>
            <w:r>
              <w:rPr>
                <w:rStyle w:val="None"/>
                <w:sz w:val="18"/>
                <w:szCs w:val="18"/>
                <w:lang w:val="en-US"/>
              </w:rPr>
              <w:t>5.Consultation of ESO TCs</w:t>
            </w:r>
          </w:p>
        </w:tc>
        <w:tc>
          <w:tcPr>
            <w:tcW w:w="315" w:type="dxa"/>
            <w:tcBorders>
              <w:top w:val="single" w:sz="4" w:space="0" w:color="000000"/>
              <w:left w:val="single" w:sz="4" w:space="0" w:color="000000"/>
              <w:bottom w:val="single" w:sz="4" w:space="0" w:color="000000"/>
            </w:tcBorders>
            <w:shd w:val="clear" w:color="auto" w:fill="FFFFFF"/>
            <w:vAlign w:val="center"/>
          </w:tcPr>
          <w:p w14:paraId="05A84DED"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24C22509"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47139CFE"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567A8421"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999999"/>
            <w:vAlign w:val="center"/>
          </w:tcPr>
          <w:p w14:paraId="352BC73F" w14:textId="77777777" w:rsidR="00203A22" w:rsidRDefault="00203A22" w:rsidP="00DD323B">
            <w:pPr>
              <w:keepNext/>
              <w:keepLines/>
              <w:snapToGrid w:val="0"/>
              <w:jc w:val="center"/>
            </w:pPr>
          </w:p>
        </w:tc>
        <w:tc>
          <w:tcPr>
            <w:tcW w:w="337" w:type="dxa"/>
            <w:tcBorders>
              <w:top w:val="single" w:sz="4" w:space="0" w:color="000000"/>
              <w:left w:val="single" w:sz="4" w:space="0" w:color="000000"/>
              <w:bottom w:val="single" w:sz="4" w:space="0" w:color="000000"/>
            </w:tcBorders>
            <w:shd w:val="clear" w:color="auto" w:fill="999999"/>
            <w:vAlign w:val="center"/>
          </w:tcPr>
          <w:p w14:paraId="6B878CE2"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4A34A181"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999999"/>
            <w:vAlign w:val="center"/>
          </w:tcPr>
          <w:p w14:paraId="60249ED0"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999999"/>
            <w:vAlign w:val="center"/>
          </w:tcPr>
          <w:p w14:paraId="77ED804E"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6D601C01"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1B1F5351"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999999"/>
            <w:vAlign w:val="center"/>
          </w:tcPr>
          <w:p w14:paraId="1BCC1522"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7F53707F"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3F0FAC5A"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999999"/>
            <w:vAlign w:val="center"/>
          </w:tcPr>
          <w:p w14:paraId="5753C80B"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999999"/>
            <w:vAlign w:val="center"/>
          </w:tcPr>
          <w:p w14:paraId="442E358C"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3BC916BF"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2C7A83E4"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999999"/>
            <w:vAlign w:val="center"/>
          </w:tcPr>
          <w:p w14:paraId="732287E2"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0EC3E2F0"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0BE5D227"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0ABBE828" w14:textId="77777777" w:rsidR="00203A22" w:rsidRDefault="00203A22" w:rsidP="00DD323B">
            <w:pPr>
              <w:snapToGrid w:val="0"/>
            </w:pPr>
          </w:p>
        </w:tc>
      </w:tr>
      <w:tr w:rsidR="005F4B92" w14:paraId="64233A75" w14:textId="77777777" w:rsidTr="005F4B92">
        <w:trPr>
          <w:gridAfter w:val="1"/>
          <w:wAfter w:w="8" w:type="dxa"/>
          <w:trHeight w:val="529"/>
        </w:trPr>
        <w:tc>
          <w:tcPr>
            <w:tcW w:w="2476" w:type="dxa"/>
            <w:tcBorders>
              <w:top w:val="single" w:sz="4" w:space="0" w:color="000000"/>
              <w:left w:val="single" w:sz="4" w:space="0" w:color="000000"/>
              <w:bottom w:val="single" w:sz="4" w:space="0" w:color="000000"/>
            </w:tcBorders>
            <w:shd w:val="clear" w:color="auto" w:fill="FFFFFF"/>
            <w:vAlign w:val="center"/>
          </w:tcPr>
          <w:p w14:paraId="7515476A" w14:textId="77777777" w:rsidR="00203A22" w:rsidRDefault="00203A22" w:rsidP="00DD323B">
            <w:pPr>
              <w:keepNext/>
              <w:keepLines/>
            </w:pPr>
            <w:r>
              <w:rPr>
                <w:rStyle w:val="None"/>
                <w:sz w:val="18"/>
                <w:szCs w:val="18"/>
                <w:lang w:val="en-US"/>
              </w:rPr>
              <w:t>6.Consultation of cities, EU projects etc.</w:t>
            </w:r>
          </w:p>
        </w:tc>
        <w:tc>
          <w:tcPr>
            <w:tcW w:w="315" w:type="dxa"/>
            <w:tcBorders>
              <w:top w:val="single" w:sz="4" w:space="0" w:color="000000"/>
              <w:left w:val="single" w:sz="4" w:space="0" w:color="000000"/>
              <w:bottom w:val="single" w:sz="4" w:space="0" w:color="000000"/>
            </w:tcBorders>
            <w:shd w:val="clear" w:color="auto" w:fill="FFFFFF"/>
            <w:vAlign w:val="center"/>
          </w:tcPr>
          <w:p w14:paraId="4C61B1E8"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5AF2E99F"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33F95885"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7FC5C566"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999999"/>
            <w:vAlign w:val="center"/>
          </w:tcPr>
          <w:p w14:paraId="6132C726"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999999"/>
            <w:vAlign w:val="center"/>
          </w:tcPr>
          <w:p w14:paraId="740EE8A0"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7AFF2A92"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999999"/>
            <w:vAlign w:val="center"/>
          </w:tcPr>
          <w:p w14:paraId="2A112B56"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999999"/>
            <w:vAlign w:val="center"/>
          </w:tcPr>
          <w:p w14:paraId="6FB8454D" w14:textId="77777777" w:rsidR="00203A22" w:rsidRDefault="00203A22" w:rsidP="00DD323B">
            <w:pPr>
              <w:keepNext/>
              <w:keepLines/>
              <w:snapToGrid w:val="0"/>
              <w:jc w:val="center"/>
            </w:pPr>
          </w:p>
        </w:tc>
        <w:tc>
          <w:tcPr>
            <w:tcW w:w="403" w:type="dxa"/>
            <w:tcBorders>
              <w:top w:val="single" w:sz="4" w:space="0" w:color="000000"/>
              <w:left w:val="single" w:sz="4" w:space="0" w:color="000000"/>
              <w:bottom w:val="single" w:sz="4" w:space="0" w:color="000000"/>
            </w:tcBorders>
            <w:shd w:val="clear" w:color="auto" w:fill="999999"/>
            <w:vAlign w:val="center"/>
          </w:tcPr>
          <w:p w14:paraId="0B478A9F"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529D9BC0"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999999"/>
            <w:vAlign w:val="center"/>
          </w:tcPr>
          <w:p w14:paraId="036CF21D"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05910274"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2717CD4C"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999999"/>
            <w:vAlign w:val="center"/>
          </w:tcPr>
          <w:p w14:paraId="572B9614"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999999"/>
            <w:vAlign w:val="center"/>
          </w:tcPr>
          <w:p w14:paraId="3E296352"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54D40366"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64934C40"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01E1182F"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336969E3"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6E1006C0"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77DFEA0F" w14:textId="77777777" w:rsidR="00203A22" w:rsidRDefault="00203A22" w:rsidP="00DD323B">
            <w:pPr>
              <w:snapToGrid w:val="0"/>
            </w:pPr>
          </w:p>
        </w:tc>
      </w:tr>
      <w:tr w:rsidR="005F4B92" w14:paraId="685B4240" w14:textId="77777777" w:rsidTr="005F4B92">
        <w:trPr>
          <w:gridAfter w:val="1"/>
          <w:wAfter w:w="8" w:type="dxa"/>
          <w:trHeight w:val="529"/>
        </w:trPr>
        <w:tc>
          <w:tcPr>
            <w:tcW w:w="2476" w:type="dxa"/>
            <w:tcBorders>
              <w:top w:val="single" w:sz="4" w:space="0" w:color="000000"/>
              <w:left w:val="single" w:sz="4" w:space="0" w:color="000000"/>
              <w:bottom w:val="single" w:sz="4" w:space="0" w:color="000000"/>
            </w:tcBorders>
            <w:shd w:val="clear" w:color="auto" w:fill="FFFFFF"/>
            <w:vAlign w:val="center"/>
          </w:tcPr>
          <w:p w14:paraId="368681D5" w14:textId="77777777" w:rsidR="00203A22" w:rsidRDefault="00203A22" w:rsidP="00DD323B">
            <w:pPr>
              <w:keepNext/>
              <w:keepLines/>
            </w:pPr>
            <w:r>
              <w:rPr>
                <w:rStyle w:val="None"/>
                <w:sz w:val="18"/>
                <w:szCs w:val="18"/>
                <w:lang w:val="en-US"/>
              </w:rPr>
              <w:t>7. Involvement of other SDOs</w:t>
            </w:r>
          </w:p>
        </w:tc>
        <w:tc>
          <w:tcPr>
            <w:tcW w:w="315" w:type="dxa"/>
            <w:tcBorders>
              <w:top w:val="single" w:sz="4" w:space="0" w:color="000000"/>
              <w:left w:val="single" w:sz="4" w:space="0" w:color="000000"/>
              <w:bottom w:val="single" w:sz="4" w:space="0" w:color="000000"/>
            </w:tcBorders>
            <w:shd w:val="clear" w:color="auto" w:fill="FFFFFF"/>
            <w:vAlign w:val="center"/>
          </w:tcPr>
          <w:p w14:paraId="612F8E5C"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78755249"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47E2A5D1"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5D0020F6"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999999"/>
            <w:vAlign w:val="center"/>
          </w:tcPr>
          <w:p w14:paraId="68FD55A1"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999999"/>
            <w:vAlign w:val="center"/>
          </w:tcPr>
          <w:p w14:paraId="59CB00A4"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5BE476C8"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999999"/>
            <w:vAlign w:val="center"/>
          </w:tcPr>
          <w:p w14:paraId="66ADC360"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999999"/>
            <w:vAlign w:val="center"/>
          </w:tcPr>
          <w:p w14:paraId="332D2938"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66932009"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3540D92E"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999999"/>
            <w:vAlign w:val="center"/>
          </w:tcPr>
          <w:p w14:paraId="13D8805F"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73C17B00"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60989B92" w14:textId="77777777" w:rsidR="00203A22" w:rsidRDefault="00203A22" w:rsidP="00DD323B">
            <w:pPr>
              <w:keepNext/>
              <w:keepLines/>
              <w:snapToGrid w:val="0"/>
              <w:jc w:val="center"/>
            </w:pPr>
          </w:p>
        </w:tc>
        <w:tc>
          <w:tcPr>
            <w:tcW w:w="423" w:type="dxa"/>
            <w:tcBorders>
              <w:top w:val="single" w:sz="4" w:space="0" w:color="000000"/>
              <w:left w:val="single" w:sz="4" w:space="0" w:color="000000"/>
              <w:bottom w:val="single" w:sz="4" w:space="0" w:color="000000"/>
            </w:tcBorders>
            <w:shd w:val="clear" w:color="auto" w:fill="999999"/>
            <w:vAlign w:val="center"/>
          </w:tcPr>
          <w:p w14:paraId="59951185"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999999"/>
            <w:vAlign w:val="center"/>
          </w:tcPr>
          <w:p w14:paraId="46CE0138"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68119C61"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06A929AE"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22B0B607"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7043FEC2"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7B915EF8"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12F55219" w14:textId="77777777" w:rsidR="00203A22" w:rsidRDefault="00203A22" w:rsidP="00DD323B">
            <w:pPr>
              <w:snapToGrid w:val="0"/>
            </w:pPr>
          </w:p>
        </w:tc>
      </w:tr>
      <w:tr w:rsidR="005F4B92" w14:paraId="774B0C21" w14:textId="77777777" w:rsidTr="005F4B92">
        <w:trPr>
          <w:gridAfter w:val="1"/>
          <w:wAfter w:w="8" w:type="dxa"/>
          <w:trHeight w:val="563"/>
        </w:trPr>
        <w:tc>
          <w:tcPr>
            <w:tcW w:w="2476" w:type="dxa"/>
            <w:tcBorders>
              <w:top w:val="single" w:sz="4" w:space="0" w:color="000000"/>
              <w:left w:val="single" w:sz="4" w:space="0" w:color="000000"/>
              <w:bottom w:val="single" w:sz="4" w:space="0" w:color="000000"/>
            </w:tcBorders>
            <w:shd w:val="clear" w:color="auto" w:fill="FFFFFF"/>
            <w:vAlign w:val="center"/>
          </w:tcPr>
          <w:p w14:paraId="100981CC" w14:textId="77777777" w:rsidR="00203A22" w:rsidRDefault="00203A22" w:rsidP="00DD323B">
            <w:pPr>
              <w:keepNext/>
              <w:keepLines/>
            </w:pPr>
            <w:r>
              <w:rPr>
                <w:rStyle w:val="None"/>
                <w:sz w:val="18"/>
                <w:szCs w:val="18"/>
                <w:lang w:val="en-US"/>
              </w:rPr>
              <w:t>8. Web-based Workshops</w:t>
            </w:r>
          </w:p>
        </w:tc>
        <w:tc>
          <w:tcPr>
            <w:tcW w:w="315" w:type="dxa"/>
            <w:tcBorders>
              <w:top w:val="single" w:sz="4" w:space="0" w:color="000000"/>
              <w:left w:val="single" w:sz="4" w:space="0" w:color="000000"/>
              <w:bottom w:val="single" w:sz="4" w:space="0" w:color="000000"/>
            </w:tcBorders>
            <w:shd w:val="clear" w:color="auto" w:fill="FFFFFF"/>
            <w:vAlign w:val="center"/>
          </w:tcPr>
          <w:p w14:paraId="57C51BD7"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3FC9F1CE"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414E387D"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70D9E647"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FFFFFF"/>
            <w:vAlign w:val="center"/>
          </w:tcPr>
          <w:p w14:paraId="72642DF2"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08439C5F"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24D29AF1"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999999"/>
            <w:vAlign w:val="center"/>
          </w:tcPr>
          <w:p w14:paraId="3E8ECC65" w14:textId="77777777" w:rsidR="00203A22" w:rsidRDefault="00203A22" w:rsidP="00DD323B">
            <w:pPr>
              <w:rPr>
                <w:sz w:val="18"/>
                <w:szCs w:val="18"/>
              </w:rPr>
            </w:pPr>
            <w:r>
              <w:rPr>
                <w:sz w:val="12"/>
                <w:szCs w:val="12"/>
              </w:rPr>
              <w:t>MS</w:t>
            </w:r>
          </w:p>
          <w:p w14:paraId="0744050E" w14:textId="77777777" w:rsidR="00203A22" w:rsidRDefault="00203A22" w:rsidP="00DD323B">
            <w:r>
              <w:rPr>
                <w:sz w:val="18"/>
                <w:szCs w:val="18"/>
              </w:rPr>
              <w:t>C</w:t>
            </w:r>
          </w:p>
        </w:tc>
        <w:tc>
          <w:tcPr>
            <w:tcW w:w="412" w:type="dxa"/>
            <w:tcBorders>
              <w:top w:val="single" w:sz="4" w:space="0" w:color="000000"/>
              <w:left w:val="single" w:sz="4" w:space="0" w:color="000000"/>
              <w:bottom w:val="single" w:sz="4" w:space="0" w:color="000000"/>
            </w:tcBorders>
            <w:shd w:val="clear" w:color="auto" w:fill="FFFFFF"/>
            <w:vAlign w:val="center"/>
          </w:tcPr>
          <w:p w14:paraId="57828CB4"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465CAC15"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6C428189" w14:textId="77777777" w:rsidR="00203A22" w:rsidRDefault="00203A22" w:rsidP="00DD323B">
            <w:pPr>
              <w:rPr>
                <w:sz w:val="18"/>
                <w:szCs w:val="18"/>
              </w:rPr>
            </w:pPr>
            <w:r>
              <w:rPr>
                <w:sz w:val="12"/>
                <w:szCs w:val="12"/>
              </w:rPr>
              <w:t>MS</w:t>
            </w:r>
          </w:p>
          <w:p w14:paraId="4E7051CA" w14:textId="77777777" w:rsidR="00203A22" w:rsidRDefault="00203A22" w:rsidP="00DD323B">
            <w:r>
              <w:rPr>
                <w:sz w:val="18"/>
                <w:szCs w:val="18"/>
              </w:rPr>
              <w:t>D</w:t>
            </w:r>
          </w:p>
        </w:tc>
        <w:tc>
          <w:tcPr>
            <w:tcW w:w="381" w:type="dxa"/>
            <w:tcBorders>
              <w:top w:val="single" w:sz="4" w:space="0" w:color="000000"/>
              <w:left w:val="single" w:sz="4" w:space="0" w:color="000000"/>
              <w:bottom w:val="single" w:sz="4" w:space="0" w:color="000000"/>
            </w:tcBorders>
            <w:shd w:val="clear" w:color="auto" w:fill="FFFFFF"/>
            <w:vAlign w:val="center"/>
          </w:tcPr>
          <w:p w14:paraId="45FE9750"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52FFA53D"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3472F272"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FFFFFF"/>
            <w:vAlign w:val="center"/>
          </w:tcPr>
          <w:p w14:paraId="38CBDEB9" w14:textId="77777777" w:rsidR="00203A22" w:rsidRDefault="00203A22" w:rsidP="00DD323B">
            <w:pPr>
              <w:keepNext/>
              <w:keepLines/>
              <w:snapToGrid w:val="0"/>
              <w:jc w:val="center"/>
            </w:pPr>
          </w:p>
        </w:tc>
        <w:tc>
          <w:tcPr>
            <w:tcW w:w="402" w:type="dxa"/>
            <w:tcBorders>
              <w:top w:val="single" w:sz="4" w:space="0" w:color="000000"/>
              <w:left w:val="single" w:sz="4" w:space="0" w:color="000000"/>
              <w:bottom w:val="single" w:sz="4" w:space="0" w:color="000000"/>
            </w:tcBorders>
            <w:shd w:val="clear" w:color="auto" w:fill="FFFFFF"/>
            <w:vAlign w:val="center"/>
          </w:tcPr>
          <w:p w14:paraId="002C3AD9"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3BDA4FEE"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413920AC"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47A74C16"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781ECD84"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50BF45E0"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54E88534" w14:textId="77777777" w:rsidR="00203A22" w:rsidRDefault="00203A22" w:rsidP="00DD323B">
            <w:pPr>
              <w:snapToGrid w:val="0"/>
            </w:pPr>
          </w:p>
        </w:tc>
      </w:tr>
      <w:tr w:rsidR="005F4B92" w14:paraId="294BAA81" w14:textId="77777777" w:rsidTr="005F4B92">
        <w:trPr>
          <w:gridAfter w:val="1"/>
          <w:wAfter w:w="8" w:type="dxa"/>
          <w:trHeight w:val="563"/>
        </w:trPr>
        <w:tc>
          <w:tcPr>
            <w:tcW w:w="2476" w:type="dxa"/>
            <w:tcBorders>
              <w:top w:val="single" w:sz="4" w:space="0" w:color="000000"/>
              <w:left w:val="single" w:sz="4" w:space="0" w:color="000000"/>
              <w:bottom w:val="single" w:sz="4" w:space="0" w:color="000000"/>
            </w:tcBorders>
            <w:shd w:val="clear" w:color="auto" w:fill="FFFFFF"/>
            <w:vAlign w:val="center"/>
          </w:tcPr>
          <w:p w14:paraId="151D51F1" w14:textId="77777777" w:rsidR="00203A22" w:rsidRDefault="00203A22" w:rsidP="00DD323B">
            <w:pPr>
              <w:keepNext/>
              <w:keepLines/>
            </w:pPr>
            <w:r>
              <w:rPr>
                <w:rStyle w:val="None"/>
                <w:sz w:val="18"/>
                <w:szCs w:val="18"/>
                <w:lang w:val="en-US"/>
              </w:rPr>
              <w:t>9. First draft report</w:t>
            </w:r>
          </w:p>
        </w:tc>
        <w:tc>
          <w:tcPr>
            <w:tcW w:w="315" w:type="dxa"/>
            <w:tcBorders>
              <w:top w:val="single" w:sz="4" w:space="0" w:color="000000"/>
              <w:left w:val="single" w:sz="4" w:space="0" w:color="000000"/>
              <w:bottom w:val="single" w:sz="4" w:space="0" w:color="000000"/>
            </w:tcBorders>
            <w:shd w:val="clear" w:color="auto" w:fill="FFFFFF"/>
            <w:vAlign w:val="center"/>
          </w:tcPr>
          <w:p w14:paraId="20DD3915"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61E3ACC0"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76671E95"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6D0D3C5A"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FFFFFF"/>
            <w:vAlign w:val="center"/>
          </w:tcPr>
          <w:p w14:paraId="2FD13D36"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0926057B"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12ACF064"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FFFFFF"/>
            <w:vAlign w:val="center"/>
          </w:tcPr>
          <w:p w14:paraId="0F8EE25B"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999999"/>
            <w:vAlign w:val="center"/>
          </w:tcPr>
          <w:p w14:paraId="778E6F1C"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999999"/>
            <w:vAlign w:val="center"/>
          </w:tcPr>
          <w:p w14:paraId="2E496BE6"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999999"/>
            <w:vAlign w:val="center"/>
          </w:tcPr>
          <w:p w14:paraId="51BD3198"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999999"/>
            <w:vAlign w:val="center"/>
          </w:tcPr>
          <w:p w14:paraId="6224624B"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999999"/>
            <w:vAlign w:val="center"/>
          </w:tcPr>
          <w:p w14:paraId="28DBBB6D" w14:textId="77777777" w:rsidR="00203A22" w:rsidRDefault="00203A22" w:rsidP="00DD323B">
            <w:pPr>
              <w:rPr>
                <w:sz w:val="18"/>
                <w:szCs w:val="18"/>
              </w:rPr>
            </w:pPr>
            <w:r>
              <w:rPr>
                <w:sz w:val="12"/>
                <w:szCs w:val="12"/>
              </w:rPr>
              <w:t>MS</w:t>
            </w:r>
          </w:p>
          <w:p w14:paraId="10B218D2" w14:textId="77777777" w:rsidR="00203A22" w:rsidRDefault="00203A22" w:rsidP="00DD323B">
            <w:r>
              <w:rPr>
                <w:sz w:val="18"/>
                <w:szCs w:val="18"/>
              </w:rPr>
              <w:t>E</w:t>
            </w:r>
          </w:p>
        </w:tc>
        <w:tc>
          <w:tcPr>
            <w:tcW w:w="370" w:type="dxa"/>
            <w:tcBorders>
              <w:top w:val="single" w:sz="4" w:space="0" w:color="000000"/>
              <w:left w:val="single" w:sz="4" w:space="0" w:color="000000"/>
              <w:bottom w:val="single" w:sz="4" w:space="0" w:color="000000"/>
            </w:tcBorders>
            <w:shd w:val="clear" w:color="auto" w:fill="FFFFFF"/>
            <w:vAlign w:val="center"/>
          </w:tcPr>
          <w:p w14:paraId="1B6EEA10"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FFFFFF"/>
            <w:vAlign w:val="center"/>
          </w:tcPr>
          <w:p w14:paraId="09161D04" w14:textId="77777777" w:rsidR="00203A22" w:rsidRDefault="00203A22" w:rsidP="00DD323B">
            <w:pPr>
              <w:snapToGrid w:val="0"/>
            </w:pPr>
          </w:p>
        </w:tc>
        <w:tc>
          <w:tcPr>
            <w:tcW w:w="402" w:type="dxa"/>
            <w:tcBorders>
              <w:top w:val="single" w:sz="4" w:space="0" w:color="000000"/>
              <w:left w:val="single" w:sz="4" w:space="0" w:color="000000"/>
              <w:bottom w:val="single" w:sz="4" w:space="0" w:color="000000"/>
            </w:tcBorders>
            <w:shd w:val="clear" w:color="auto" w:fill="FFFFFF"/>
            <w:vAlign w:val="center"/>
          </w:tcPr>
          <w:p w14:paraId="3063D495"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00DF1F77"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0AC6C8B6"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070EB59B" w14:textId="77777777" w:rsidR="00203A22" w:rsidRDefault="00203A22" w:rsidP="00DD323B">
            <w:pPr>
              <w:keepNext/>
              <w:keepLines/>
              <w:snapToGrid w:val="0"/>
              <w:jc w:val="center"/>
            </w:pPr>
          </w:p>
        </w:tc>
        <w:tc>
          <w:tcPr>
            <w:tcW w:w="403" w:type="dxa"/>
            <w:tcBorders>
              <w:top w:val="single" w:sz="4" w:space="0" w:color="000000"/>
              <w:left w:val="single" w:sz="4" w:space="0" w:color="000000"/>
              <w:bottom w:val="single" w:sz="4" w:space="0" w:color="000000"/>
            </w:tcBorders>
            <w:shd w:val="clear" w:color="auto" w:fill="FFFFFF"/>
            <w:vAlign w:val="center"/>
          </w:tcPr>
          <w:p w14:paraId="5A599EDC"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3B30522C"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47CD47E3" w14:textId="77777777" w:rsidR="00203A22" w:rsidRDefault="00203A22" w:rsidP="00DD323B">
            <w:pPr>
              <w:snapToGrid w:val="0"/>
            </w:pPr>
          </w:p>
        </w:tc>
      </w:tr>
      <w:tr w:rsidR="005F4B92" w14:paraId="0ECE4716" w14:textId="77777777" w:rsidTr="005F4B92">
        <w:trPr>
          <w:gridAfter w:val="1"/>
          <w:wAfter w:w="8" w:type="dxa"/>
          <w:trHeight w:val="563"/>
        </w:trPr>
        <w:tc>
          <w:tcPr>
            <w:tcW w:w="2476" w:type="dxa"/>
            <w:tcBorders>
              <w:left w:val="single" w:sz="4" w:space="0" w:color="000000"/>
              <w:bottom w:val="single" w:sz="4" w:space="0" w:color="000000"/>
            </w:tcBorders>
            <w:shd w:val="clear" w:color="auto" w:fill="FFFFFF"/>
            <w:vAlign w:val="center"/>
          </w:tcPr>
          <w:p w14:paraId="56D8E4F0" w14:textId="77777777" w:rsidR="00203A22" w:rsidRPr="00ED5AA6" w:rsidRDefault="00203A22" w:rsidP="00DD323B">
            <w:pPr>
              <w:keepNext/>
              <w:keepLines/>
              <w:rPr>
                <w:lang w:val="nn-NO"/>
              </w:rPr>
            </w:pPr>
            <w:r w:rsidRPr="00ED5AA6">
              <w:rPr>
                <w:sz w:val="18"/>
                <w:szCs w:val="18"/>
                <w:lang w:val="nn-NO"/>
              </w:rPr>
              <w:t>10.  Interim report to EU/EFTA</w:t>
            </w:r>
          </w:p>
        </w:tc>
        <w:tc>
          <w:tcPr>
            <w:tcW w:w="315" w:type="dxa"/>
            <w:tcBorders>
              <w:left w:val="single" w:sz="4" w:space="0" w:color="000000"/>
              <w:bottom w:val="single" w:sz="4" w:space="0" w:color="000000"/>
            </w:tcBorders>
            <w:shd w:val="clear" w:color="auto" w:fill="FFFFFF"/>
            <w:vAlign w:val="center"/>
          </w:tcPr>
          <w:p w14:paraId="59D3AF5E" w14:textId="77777777" w:rsidR="00203A22" w:rsidRPr="00ED5AA6" w:rsidRDefault="00203A22" w:rsidP="00DD323B">
            <w:pPr>
              <w:snapToGrid w:val="0"/>
              <w:rPr>
                <w:lang w:val="nn-NO"/>
              </w:rPr>
            </w:pPr>
          </w:p>
        </w:tc>
        <w:tc>
          <w:tcPr>
            <w:tcW w:w="314" w:type="dxa"/>
            <w:tcBorders>
              <w:left w:val="single" w:sz="4" w:space="0" w:color="000000"/>
              <w:bottom w:val="single" w:sz="4" w:space="0" w:color="000000"/>
            </w:tcBorders>
            <w:shd w:val="clear" w:color="auto" w:fill="FFFFFF"/>
            <w:vAlign w:val="center"/>
          </w:tcPr>
          <w:p w14:paraId="28FB7D5F" w14:textId="77777777" w:rsidR="00203A22" w:rsidRPr="00ED5AA6" w:rsidRDefault="00203A22" w:rsidP="00DD323B">
            <w:pPr>
              <w:snapToGrid w:val="0"/>
              <w:rPr>
                <w:lang w:val="nn-NO"/>
              </w:rPr>
            </w:pPr>
          </w:p>
        </w:tc>
        <w:tc>
          <w:tcPr>
            <w:tcW w:w="315" w:type="dxa"/>
            <w:tcBorders>
              <w:left w:val="single" w:sz="4" w:space="0" w:color="000000"/>
              <w:bottom w:val="single" w:sz="4" w:space="0" w:color="000000"/>
            </w:tcBorders>
            <w:shd w:val="clear" w:color="auto" w:fill="FFFFFF"/>
            <w:vAlign w:val="center"/>
          </w:tcPr>
          <w:p w14:paraId="53055F48" w14:textId="77777777" w:rsidR="00203A22" w:rsidRPr="00ED5AA6" w:rsidRDefault="00203A22" w:rsidP="00DD323B">
            <w:pPr>
              <w:snapToGrid w:val="0"/>
              <w:rPr>
                <w:lang w:val="nn-NO"/>
              </w:rPr>
            </w:pPr>
          </w:p>
        </w:tc>
        <w:tc>
          <w:tcPr>
            <w:tcW w:w="315" w:type="dxa"/>
            <w:tcBorders>
              <w:left w:val="single" w:sz="4" w:space="0" w:color="000000"/>
              <w:bottom w:val="single" w:sz="4" w:space="0" w:color="000000"/>
            </w:tcBorders>
            <w:shd w:val="clear" w:color="auto" w:fill="FFFFFF"/>
            <w:vAlign w:val="center"/>
          </w:tcPr>
          <w:p w14:paraId="102528B9" w14:textId="77777777" w:rsidR="00203A22" w:rsidRPr="00ED5AA6" w:rsidRDefault="00203A22" w:rsidP="00DD323B">
            <w:pPr>
              <w:snapToGrid w:val="0"/>
              <w:rPr>
                <w:lang w:val="nn-NO"/>
              </w:rPr>
            </w:pPr>
          </w:p>
        </w:tc>
        <w:tc>
          <w:tcPr>
            <w:tcW w:w="338" w:type="dxa"/>
            <w:tcBorders>
              <w:left w:val="single" w:sz="4" w:space="0" w:color="000000"/>
              <w:bottom w:val="single" w:sz="4" w:space="0" w:color="000000"/>
            </w:tcBorders>
            <w:shd w:val="clear" w:color="auto" w:fill="FFFFFF"/>
            <w:vAlign w:val="center"/>
          </w:tcPr>
          <w:p w14:paraId="7C97F355" w14:textId="77777777" w:rsidR="00203A22" w:rsidRPr="00ED5AA6" w:rsidRDefault="00203A22" w:rsidP="00DD323B">
            <w:pPr>
              <w:snapToGrid w:val="0"/>
              <w:rPr>
                <w:lang w:val="nn-NO"/>
              </w:rPr>
            </w:pPr>
          </w:p>
        </w:tc>
        <w:tc>
          <w:tcPr>
            <w:tcW w:w="337" w:type="dxa"/>
            <w:tcBorders>
              <w:left w:val="single" w:sz="4" w:space="0" w:color="000000"/>
              <w:bottom w:val="single" w:sz="4" w:space="0" w:color="000000"/>
            </w:tcBorders>
            <w:shd w:val="clear" w:color="auto" w:fill="FFFFFF"/>
            <w:vAlign w:val="center"/>
          </w:tcPr>
          <w:p w14:paraId="6C5EF192" w14:textId="77777777" w:rsidR="00203A22" w:rsidRPr="00ED5AA6" w:rsidRDefault="00203A22" w:rsidP="00DD323B">
            <w:pPr>
              <w:snapToGrid w:val="0"/>
              <w:rPr>
                <w:lang w:val="nn-NO"/>
              </w:rPr>
            </w:pPr>
          </w:p>
        </w:tc>
        <w:tc>
          <w:tcPr>
            <w:tcW w:w="391" w:type="dxa"/>
            <w:tcBorders>
              <w:left w:val="single" w:sz="4" w:space="0" w:color="000000"/>
              <w:bottom w:val="single" w:sz="4" w:space="0" w:color="000000"/>
            </w:tcBorders>
            <w:shd w:val="clear" w:color="auto" w:fill="FFFFFF"/>
            <w:vAlign w:val="center"/>
          </w:tcPr>
          <w:p w14:paraId="11666B3F" w14:textId="77777777" w:rsidR="00203A22" w:rsidRPr="00ED5AA6" w:rsidRDefault="00203A22" w:rsidP="00DD323B">
            <w:pPr>
              <w:snapToGrid w:val="0"/>
              <w:rPr>
                <w:lang w:val="nn-NO"/>
              </w:rPr>
            </w:pPr>
          </w:p>
        </w:tc>
        <w:tc>
          <w:tcPr>
            <w:tcW w:w="436" w:type="dxa"/>
            <w:tcBorders>
              <w:left w:val="single" w:sz="4" w:space="0" w:color="000000"/>
              <w:bottom w:val="single" w:sz="4" w:space="0" w:color="000000"/>
            </w:tcBorders>
            <w:shd w:val="clear" w:color="auto" w:fill="FFFFFF"/>
            <w:vAlign w:val="center"/>
          </w:tcPr>
          <w:p w14:paraId="212D1772" w14:textId="77777777" w:rsidR="00203A22" w:rsidRPr="00ED5AA6" w:rsidRDefault="00203A22" w:rsidP="00DD323B">
            <w:pPr>
              <w:snapToGrid w:val="0"/>
              <w:rPr>
                <w:lang w:val="nn-NO"/>
              </w:rPr>
            </w:pPr>
          </w:p>
        </w:tc>
        <w:tc>
          <w:tcPr>
            <w:tcW w:w="412" w:type="dxa"/>
            <w:tcBorders>
              <w:left w:val="single" w:sz="4" w:space="0" w:color="000000"/>
              <w:bottom w:val="single" w:sz="4" w:space="0" w:color="000000"/>
            </w:tcBorders>
            <w:shd w:val="clear" w:color="auto" w:fill="FFFFFF"/>
            <w:vAlign w:val="center"/>
          </w:tcPr>
          <w:p w14:paraId="59E935CC" w14:textId="77777777" w:rsidR="00203A22" w:rsidRPr="00ED5AA6" w:rsidRDefault="00203A22" w:rsidP="00DD323B">
            <w:pPr>
              <w:snapToGrid w:val="0"/>
              <w:rPr>
                <w:lang w:val="nn-NO"/>
              </w:rPr>
            </w:pPr>
          </w:p>
        </w:tc>
        <w:tc>
          <w:tcPr>
            <w:tcW w:w="403" w:type="dxa"/>
            <w:tcBorders>
              <w:left w:val="single" w:sz="4" w:space="0" w:color="000000"/>
              <w:bottom w:val="single" w:sz="4" w:space="0" w:color="000000"/>
            </w:tcBorders>
            <w:shd w:val="clear" w:color="auto" w:fill="FFFFFF"/>
            <w:vAlign w:val="center"/>
          </w:tcPr>
          <w:p w14:paraId="62C1B497" w14:textId="77777777" w:rsidR="00203A22" w:rsidRPr="00ED5AA6" w:rsidRDefault="00203A22" w:rsidP="00DD323B">
            <w:pPr>
              <w:snapToGrid w:val="0"/>
              <w:rPr>
                <w:lang w:val="nn-NO"/>
              </w:rPr>
            </w:pPr>
          </w:p>
        </w:tc>
        <w:tc>
          <w:tcPr>
            <w:tcW w:w="391" w:type="dxa"/>
            <w:tcBorders>
              <w:left w:val="single" w:sz="4" w:space="0" w:color="000000"/>
              <w:bottom w:val="single" w:sz="4" w:space="0" w:color="000000"/>
            </w:tcBorders>
            <w:shd w:val="clear" w:color="auto" w:fill="FFFFFF"/>
            <w:vAlign w:val="center"/>
          </w:tcPr>
          <w:p w14:paraId="3C39EAC2" w14:textId="77777777" w:rsidR="00203A22" w:rsidRPr="00ED5AA6" w:rsidRDefault="00203A22" w:rsidP="00DD323B">
            <w:pPr>
              <w:snapToGrid w:val="0"/>
              <w:rPr>
                <w:lang w:val="nn-NO"/>
              </w:rPr>
            </w:pPr>
          </w:p>
        </w:tc>
        <w:tc>
          <w:tcPr>
            <w:tcW w:w="381" w:type="dxa"/>
            <w:tcBorders>
              <w:left w:val="single" w:sz="4" w:space="0" w:color="000000"/>
              <w:bottom w:val="single" w:sz="4" w:space="0" w:color="000000"/>
            </w:tcBorders>
            <w:shd w:val="clear" w:color="auto" w:fill="FFFFFF"/>
            <w:vAlign w:val="center"/>
          </w:tcPr>
          <w:p w14:paraId="14EFEF84" w14:textId="77777777" w:rsidR="00203A22" w:rsidRPr="00ED5AA6" w:rsidRDefault="00203A22" w:rsidP="00DD323B">
            <w:pPr>
              <w:snapToGrid w:val="0"/>
              <w:rPr>
                <w:lang w:val="nn-NO"/>
              </w:rPr>
            </w:pPr>
          </w:p>
        </w:tc>
        <w:tc>
          <w:tcPr>
            <w:tcW w:w="370" w:type="dxa"/>
            <w:tcBorders>
              <w:left w:val="single" w:sz="4" w:space="0" w:color="000000"/>
              <w:bottom w:val="single" w:sz="4" w:space="0" w:color="000000"/>
            </w:tcBorders>
            <w:shd w:val="clear" w:color="auto" w:fill="FFFFFF"/>
            <w:vAlign w:val="center"/>
          </w:tcPr>
          <w:p w14:paraId="53C46907" w14:textId="77777777" w:rsidR="00203A22" w:rsidRPr="00ED5AA6" w:rsidRDefault="00203A22" w:rsidP="00DD323B">
            <w:pPr>
              <w:snapToGrid w:val="0"/>
              <w:rPr>
                <w:lang w:val="nn-NO"/>
              </w:rPr>
            </w:pPr>
          </w:p>
        </w:tc>
        <w:tc>
          <w:tcPr>
            <w:tcW w:w="370" w:type="dxa"/>
            <w:tcBorders>
              <w:left w:val="single" w:sz="4" w:space="0" w:color="000000"/>
              <w:bottom w:val="single" w:sz="4" w:space="0" w:color="000000"/>
            </w:tcBorders>
            <w:shd w:val="clear" w:color="auto" w:fill="999999"/>
            <w:vAlign w:val="center"/>
          </w:tcPr>
          <w:p w14:paraId="30FE15B9" w14:textId="77777777" w:rsidR="00203A22" w:rsidRDefault="00203A22" w:rsidP="00DD323B">
            <w:pPr>
              <w:rPr>
                <w:sz w:val="18"/>
                <w:szCs w:val="18"/>
              </w:rPr>
            </w:pPr>
            <w:r>
              <w:rPr>
                <w:sz w:val="12"/>
                <w:szCs w:val="12"/>
              </w:rPr>
              <w:t>MS</w:t>
            </w:r>
          </w:p>
          <w:p w14:paraId="1E942E6E" w14:textId="77777777" w:rsidR="00203A22" w:rsidRDefault="00203A22" w:rsidP="00DD323B">
            <w:r>
              <w:rPr>
                <w:sz w:val="18"/>
                <w:szCs w:val="18"/>
              </w:rPr>
              <w:t>F</w:t>
            </w:r>
          </w:p>
        </w:tc>
        <w:tc>
          <w:tcPr>
            <w:tcW w:w="423" w:type="dxa"/>
            <w:tcBorders>
              <w:left w:val="single" w:sz="4" w:space="0" w:color="000000"/>
              <w:bottom w:val="single" w:sz="4" w:space="0" w:color="000000"/>
            </w:tcBorders>
            <w:shd w:val="clear" w:color="auto" w:fill="FFFFFF"/>
            <w:vAlign w:val="center"/>
          </w:tcPr>
          <w:p w14:paraId="35C5EBBB" w14:textId="77777777" w:rsidR="00203A22" w:rsidRDefault="00203A22" w:rsidP="00DD323B">
            <w:pPr>
              <w:snapToGrid w:val="0"/>
            </w:pPr>
          </w:p>
        </w:tc>
        <w:tc>
          <w:tcPr>
            <w:tcW w:w="402" w:type="dxa"/>
            <w:tcBorders>
              <w:left w:val="single" w:sz="4" w:space="0" w:color="000000"/>
              <w:bottom w:val="single" w:sz="4" w:space="0" w:color="000000"/>
            </w:tcBorders>
            <w:shd w:val="clear" w:color="auto" w:fill="FFFFFF"/>
            <w:vAlign w:val="center"/>
          </w:tcPr>
          <w:p w14:paraId="04F14080"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364420A1"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6EA487D1" w14:textId="77777777" w:rsidR="00203A22" w:rsidRDefault="00203A22" w:rsidP="00DD323B">
            <w:pPr>
              <w:snapToGrid w:val="0"/>
            </w:pPr>
          </w:p>
        </w:tc>
        <w:tc>
          <w:tcPr>
            <w:tcW w:w="424" w:type="dxa"/>
            <w:tcBorders>
              <w:left w:val="single" w:sz="4" w:space="0" w:color="000000"/>
              <w:bottom w:val="single" w:sz="4" w:space="0" w:color="000000"/>
            </w:tcBorders>
            <w:shd w:val="clear" w:color="auto" w:fill="FFFFFF"/>
            <w:vAlign w:val="center"/>
          </w:tcPr>
          <w:p w14:paraId="38FB5A22" w14:textId="77777777" w:rsidR="00203A22" w:rsidRDefault="00203A22" w:rsidP="00DD323B">
            <w:pPr>
              <w:keepNext/>
              <w:keepLines/>
              <w:snapToGrid w:val="0"/>
              <w:jc w:val="center"/>
            </w:pPr>
          </w:p>
        </w:tc>
        <w:tc>
          <w:tcPr>
            <w:tcW w:w="403" w:type="dxa"/>
            <w:tcBorders>
              <w:left w:val="single" w:sz="4" w:space="0" w:color="000000"/>
              <w:bottom w:val="single" w:sz="4" w:space="0" w:color="000000"/>
            </w:tcBorders>
            <w:shd w:val="clear" w:color="auto" w:fill="FFFFFF"/>
            <w:vAlign w:val="center"/>
          </w:tcPr>
          <w:p w14:paraId="1DBD91E9" w14:textId="77777777" w:rsidR="00203A22" w:rsidRDefault="00203A22" w:rsidP="00DD323B">
            <w:pPr>
              <w:snapToGrid w:val="0"/>
            </w:pPr>
          </w:p>
        </w:tc>
        <w:tc>
          <w:tcPr>
            <w:tcW w:w="403" w:type="dxa"/>
            <w:tcBorders>
              <w:left w:val="single" w:sz="4" w:space="0" w:color="000000"/>
              <w:bottom w:val="single" w:sz="4" w:space="0" w:color="000000"/>
            </w:tcBorders>
            <w:vAlign w:val="center"/>
          </w:tcPr>
          <w:p w14:paraId="0C935D08" w14:textId="77777777" w:rsidR="00203A22" w:rsidRDefault="00203A22" w:rsidP="00DD323B">
            <w:pPr>
              <w:snapToGrid w:val="0"/>
            </w:pPr>
          </w:p>
        </w:tc>
        <w:tc>
          <w:tcPr>
            <w:tcW w:w="551" w:type="dxa"/>
            <w:tcBorders>
              <w:left w:val="single" w:sz="4" w:space="0" w:color="000000"/>
              <w:bottom w:val="single" w:sz="4" w:space="0" w:color="000000"/>
              <w:right w:val="single" w:sz="4" w:space="0" w:color="000000"/>
            </w:tcBorders>
            <w:vAlign w:val="center"/>
          </w:tcPr>
          <w:p w14:paraId="0C64B707" w14:textId="77777777" w:rsidR="00203A22" w:rsidRDefault="00203A22" w:rsidP="00DD323B">
            <w:pPr>
              <w:snapToGrid w:val="0"/>
            </w:pPr>
          </w:p>
        </w:tc>
      </w:tr>
      <w:tr w:rsidR="005F4B92" w14:paraId="13FF1151" w14:textId="77777777" w:rsidTr="005F4B92">
        <w:trPr>
          <w:gridAfter w:val="1"/>
          <w:wAfter w:w="8" w:type="dxa"/>
          <w:trHeight w:val="563"/>
        </w:trPr>
        <w:tc>
          <w:tcPr>
            <w:tcW w:w="2476" w:type="dxa"/>
            <w:tcBorders>
              <w:left w:val="single" w:sz="4" w:space="0" w:color="000000"/>
              <w:bottom w:val="single" w:sz="4" w:space="0" w:color="000000"/>
            </w:tcBorders>
            <w:shd w:val="clear" w:color="auto" w:fill="FFFFFF"/>
            <w:vAlign w:val="center"/>
          </w:tcPr>
          <w:p w14:paraId="1A89CBAB" w14:textId="77777777" w:rsidR="00203A22" w:rsidRDefault="00203A22" w:rsidP="00DD323B">
            <w:pPr>
              <w:keepNext/>
              <w:keepLines/>
            </w:pPr>
            <w:r>
              <w:rPr>
                <w:sz w:val="18"/>
                <w:szCs w:val="18"/>
              </w:rPr>
              <w:t>11.  Public comment phase</w:t>
            </w:r>
          </w:p>
        </w:tc>
        <w:tc>
          <w:tcPr>
            <w:tcW w:w="315" w:type="dxa"/>
            <w:tcBorders>
              <w:left w:val="single" w:sz="4" w:space="0" w:color="000000"/>
              <w:bottom w:val="single" w:sz="4" w:space="0" w:color="000000"/>
            </w:tcBorders>
            <w:shd w:val="clear" w:color="auto" w:fill="FFFFFF"/>
            <w:vAlign w:val="center"/>
          </w:tcPr>
          <w:p w14:paraId="33572D33" w14:textId="77777777" w:rsidR="00203A22" w:rsidRDefault="00203A22" w:rsidP="00DD323B">
            <w:pPr>
              <w:snapToGrid w:val="0"/>
            </w:pPr>
          </w:p>
        </w:tc>
        <w:tc>
          <w:tcPr>
            <w:tcW w:w="314" w:type="dxa"/>
            <w:tcBorders>
              <w:left w:val="single" w:sz="4" w:space="0" w:color="000000"/>
              <w:bottom w:val="single" w:sz="4" w:space="0" w:color="000000"/>
            </w:tcBorders>
            <w:shd w:val="clear" w:color="auto" w:fill="FFFFFF"/>
            <w:vAlign w:val="center"/>
          </w:tcPr>
          <w:p w14:paraId="326DBB58"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36B8F330"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70565891" w14:textId="77777777" w:rsidR="00203A22" w:rsidRDefault="00203A22" w:rsidP="00DD323B">
            <w:pPr>
              <w:snapToGrid w:val="0"/>
            </w:pPr>
          </w:p>
        </w:tc>
        <w:tc>
          <w:tcPr>
            <w:tcW w:w="338" w:type="dxa"/>
            <w:tcBorders>
              <w:left w:val="single" w:sz="4" w:space="0" w:color="000000"/>
              <w:bottom w:val="single" w:sz="4" w:space="0" w:color="000000"/>
            </w:tcBorders>
            <w:shd w:val="clear" w:color="auto" w:fill="FFFFFF"/>
            <w:vAlign w:val="center"/>
          </w:tcPr>
          <w:p w14:paraId="3B90B49A" w14:textId="77777777" w:rsidR="00203A22" w:rsidRDefault="00203A22" w:rsidP="00DD323B">
            <w:pPr>
              <w:snapToGrid w:val="0"/>
            </w:pPr>
          </w:p>
        </w:tc>
        <w:tc>
          <w:tcPr>
            <w:tcW w:w="337" w:type="dxa"/>
            <w:tcBorders>
              <w:left w:val="single" w:sz="4" w:space="0" w:color="000000"/>
              <w:bottom w:val="single" w:sz="4" w:space="0" w:color="000000"/>
            </w:tcBorders>
            <w:shd w:val="clear" w:color="auto" w:fill="FFFFFF"/>
            <w:vAlign w:val="center"/>
          </w:tcPr>
          <w:p w14:paraId="396D5096"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31B95FC3" w14:textId="77777777" w:rsidR="00203A22" w:rsidRDefault="00203A22" w:rsidP="00DD323B">
            <w:pPr>
              <w:snapToGrid w:val="0"/>
            </w:pPr>
          </w:p>
        </w:tc>
        <w:tc>
          <w:tcPr>
            <w:tcW w:w="436" w:type="dxa"/>
            <w:tcBorders>
              <w:left w:val="single" w:sz="4" w:space="0" w:color="000000"/>
              <w:bottom w:val="single" w:sz="4" w:space="0" w:color="000000"/>
            </w:tcBorders>
            <w:shd w:val="clear" w:color="auto" w:fill="FFFFFF"/>
            <w:vAlign w:val="center"/>
          </w:tcPr>
          <w:p w14:paraId="2F9B8A71" w14:textId="77777777" w:rsidR="00203A22" w:rsidRDefault="00203A22" w:rsidP="00DD323B">
            <w:pPr>
              <w:snapToGrid w:val="0"/>
            </w:pPr>
          </w:p>
        </w:tc>
        <w:tc>
          <w:tcPr>
            <w:tcW w:w="412" w:type="dxa"/>
            <w:tcBorders>
              <w:left w:val="single" w:sz="4" w:space="0" w:color="000000"/>
              <w:bottom w:val="single" w:sz="4" w:space="0" w:color="000000"/>
            </w:tcBorders>
            <w:shd w:val="clear" w:color="auto" w:fill="FFFFFF"/>
            <w:vAlign w:val="center"/>
          </w:tcPr>
          <w:p w14:paraId="7D1AD947"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0A0E7CE5"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68DA19A8" w14:textId="77777777" w:rsidR="00203A22" w:rsidRDefault="00203A22" w:rsidP="00DD323B">
            <w:pPr>
              <w:snapToGrid w:val="0"/>
            </w:pPr>
          </w:p>
        </w:tc>
        <w:tc>
          <w:tcPr>
            <w:tcW w:w="381" w:type="dxa"/>
            <w:tcBorders>
              <w:left w:val="single" w:sz="4" w:space="0" w:color="000000"/>
              <w:bottom w:val="single" w:sz="4" w:space="0" w:color="000000"/>
            </w:tcBorders>
            <w:shd w:val="clear" w:color="auto" w:fill="FFFFFF"/>
            <w:vAlign w:val="center"/>
          </w:tcPr>
          <w:p w14:paraId="12173247"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1EF08504" w14:textId="77777777" w:rsidR="00203A22" w:rsidRDefault="00203A22" w:rsidP="00DD323B">
            <w:pPr>
              <w:snapToGrid w:val="0"/>
            </w:pPr>
          </w:p>
        </w:tc>
        <w:tc>
          <w:tcPr>
            <w:tcW w:w="370" w:type="dxa"/>
            <w:tcBorders>
              <w:left w:val="single" w:sz="4" w:space="0" w:color="000000"/>
              <w:bottom w:val="single" w:sz="4" w:space="0" w:color="000000"/>
            </w:tcBorders>
            <w:shd w:val="clear" w:color="auto" w:fill="999999"/>
            <w:vAlign w:val="center"/>
          </w:tcPr>
          <w:p w14:paraId="0C2BBF47" w14:textId="77777777" w:rsidR="00203A22" w:rsidRDefault="00203A22" w:rsidP="00DD323B">
            <w:pPr>
              <w:snapToGrid w:val="0"/>
              <w:rPr>
                <w:sz w:val="12"/>
                <w:szCs w:val="12"/>
              </w:rPr>
            </w:pPr>
          </w:p>
        </w:tc>
        <w:tc>
          <w:tcPr>
            <w:tcW w:w="423" w:type="dxa"/>
            <w:tcBorders>
              <w:left w:val="single" w:sz="4" w:space="0" w:color="000000"/>
              <w:bottom w:val="single" w:sz="4" w:space="0" w:color="000000"/>
            </w:tcBorders>
            <w:shd w:val="clear" w:color="auto" w:fill="999999"/>
            <w:vAlign w:val="center"/>
          </w:tcPr>
          <w:p w14:paraId="0555AB96" w14:textId="77777777" w:rsidR="00203A22" w:rsidRDefault="00203A22" w:rsidP="00DD323B">
            <w:pPr>
              <w:snapToGrid w:val="0"/>
            </w:pPr>
          </w:p>
        </w:tc>
        <w:tc>
          <w:tcPr>
            <w:tcW w:w="402" w:type="dxa"/>
            <w:tcBorders>
              <w:left w:val="single" w:sz="4" w:space="0" w:color="000000"/>
              <w:bottom w:val="single" w:sz="4" w:space="0" w:color="000000"/>
            </w:tcBorders>
            <w:shd w:val="clear" w:color="auto" w:fill="999999"/>
            <w:vAlign w:val="center"/>
          </w:tcPr>
          <w:p w14:paraId="42A45416" w14:textId="77777777" w:rsidR="00203A22" w:rsidRDefault="00203A22" w:rsidP="00DD323B">
            <w:pPr>
              <w:snapToGrid w:val="0"/>
            </w:pPr>
          </w:p>
        </w:tc>
        <w:tc>
          <w:tcPr>
            <w:tcW w:w="403" w:type="dxa"/>
            <w:tcBorders>
              <w:left w:val="single" w:sz="4" w:space="0" w:color="000000"/>
              <w:bottom w:val="single" w:sz="4" w:space="0" w:color="000000"/>
            </w:tcBorders>
            <w:shd w:val="clear" w:color="auto" w:fill="999999"/>
            <w:vAlign w:val="center"/>
          </w:tcPr>
          <w:p w14:paraId="353AAB7B" w14:textId="77777777" w:rsidR="00203A22" w:rsidRDefault="00203A22" w:rsidP="00DD323B">
            <w:pPr>
              <w:snapToGrid w:val="0"/>
            </w:pPr>
          </w:p>
        </w:tc>
        <w:tc>
          <w:tcPr>
            <w:tcW w:w="391" w:type="dxa"/>
            <w:tcBorders>
              <w:left w:val="single" w:sz="4" w:space="0" w:color="000000"/>
              <w:bottom w:val="single" w:sz="4" w:space="0" w:color="000000"/>
            </w:tcBorders>
            <w:shd w:val="clear" w:color="auto" w:fill="999999"/>
            <w:vAlign w:val="center"/>
          </w:tcPr>
          <w:p w14:paraId="26D15F35" w14:textId="77777777" w:rsidR="00203A22" w:rsidRDefault="00203A22" w:rsidP="00DD323B">
            <w:pPr>
              <w:snapToGrid w:val="0"/>
            </w:pPr>
          </w:p>
        </w:tc>
        <w:tc>
          <w:tcPr>
            <w:tcW w:w="424" w:type="dxa"/>
            <w:tcBorders>
              <w:left w:val="single" w:sz="4" w:space="0" w:color="000000"/>
              <w:bottom w:val="single" w:sz="4" w:space="0" w:color="000000"/>
            </w:tcBorders>
            <w:shd w:val="clear" w:color="auto" w:fill="FFFFFF"/>
            <w:vAlign w:val="center"/>
          </w:tcPr>
          <w:p w14:paraId="493E3FB5" w14:textId="77777777" w:rsidR="00203A22" w:rsidRDefault="00203A22" w:rsidP="00DD323B">
            <w:pPr>
              <w:keepNext/>
              <w:keepLines/>
              <w:snapToGrid w:val="0"/>
              <w:jc w:val="center"/>
            </w:pPr>
          </w:p>
        </w:tc>
        <w:tc>
          <w:tcPr>
            <w:tcW w:w="403" w:type="dxa"/>
            <w:tcBorders>
              <w:left w:val="single" w:sz="4" w:space="0" w:color="000000"/>
              <w:bottom w:val="single" w:sz="4" w:space="0" w:color="000000"/>
            </w:tcBorders>
            <w:shd w:val="clear" w:color="auto" w:fill="FFFFFF"/>
            <w:vAlign w:val="center"/>
          </w:tcPr>
          <w:p w14:paraId="741ED938" w14:textId="77777777" w:rsidR="00203A22" w:rsidRDefault="00203A22" w:rsidP="00DD323B">
            <w:pPr>
              <w:snapToGrid w:val="0"/>
            </w:pPr>
          </w:p>
        </w:tc>
        <w:tc>
          <w:tcPr>
            <w:tcW w:w="403" w:type="dxa"/>
            <w:tcBorders>
              <w:left w:val="single" w:sz="4" w:space="0" w:color="000000"/>
              <w:bottom w:val="single" w:sz="4" w:space="0" w:color="000000"/>
            </w:tcBorders>
            <w:vAlign w:val="center"/>
          </w:tcPr>
          <w:p w14:paraId="5E802AB5" w14:textId="77777777" w:rsidR="00203A22" w:rsidRDefault="00203A22" w:rsidP="00DD323B">
            <w:pPr>
              <w:snapToGrid w:val="0"/>
            </w:pPr>
          </w:p>
        </w:tc>
        <w:tc>
          <w:tcPr>
            <w:tcW w:w="551" w:type="dxa"/>
            <w:tcBorders>
              <w:left w:val="single" w:sz="4" w:space="0" w:color="000000"/>
              <w:bottom w:val="single" w:sz="4" w:space="0" w:color="000000"/>
              <w:right w:val="single" w:sz="4" w:space="0" w:color="000000"/>
            </w:tcBorders>
            <w:vAlign w:val="center"/>
          </w:tcPr>
          <w:p w14:paraId="75F35B36" w14:textId="77777777" w:rsidR="00203A22" w:rsidRDefault="00203A22" w:rsidP="00DD323B">
            <w:pPr>
              <w:snapToGrid w:val="0"/>
            </w:pPr>
          </w:p>
        </w:tc>
      </w:tr>
      <w:tr w:rsidR="005F4B92" w14:paraId="639D736D" w14:textId="77777777" w:rsidTr="005F4B92">
        <w:trPr>
          <w:gridAfter w:val="1"/>
          <w:wAfter w:w="8" w:type="dxa"/>
          <w:trHeight w:val="925"/>
        </w:trPr>
        <w:tc>
          <w:tcPr>
            <w:tcW w:w="2476" w:type="dxa"/>
            <w:tcBorders>
              <w:top w:val="single" w:sz="4" w:space="0" w:color="000000"/>
              <w:left w:val="single" w:sz="4" w:space="0" w:color="000000"/>
              <w:bottom w:val="single" w:sz="4" w:space="0" w:color="000000"/>
            </w:tcBorders>
            <w:shd w:val="clear" w:color="auto" w:fill="FFFFFF"/>
            <w:vAlign w:val="center"/>
          </w:tcPr>
          <w:p w14:paraId="3B481D14" w14:textId="77777777" w:rsidR="00203A22" w:rsidRDefault="00203A22" w:rsidP="00DD323B">
            <w:pPr>
              <w:keepNext/>
              <w:keepLines/>
            </w:pPr>
            <w:r>
              <w:rPr>
                <w:rStyle w:val="None"/>
                <w:sz w:val="18"/>
                <w:szCs w:val="18"/>
                <w:lang w:val="en-US"/>
              </w:rPr>
              <w:t>12. Open meeting</w:t>
            </w:r>
          </w:p>
        </w:tc>
        <w:tc>
          <w:tcPr>
            <w:tcW w:w="315" w:type="dxa"/>
            <w:tcBorders>
              <w:top w:val="single" w:sz="4" w:space="0" w:color="000000"/>
              <w:left w:val="single" w:sz="4" w:space="0" w:color="000000"/>
              <w:bottom w:val="single" w:sz="4" w:space="0" w:color="000000"/>
            </w:tcBorders>
            <w:shd w:val="clear" w:color="auto" w:fill="FFFFFF"/>
            <w:vAlign w:val="center"/>
          </w:tcPr>
          <w:p w14:paraId="58905B23" w14:textId="77777777" w:rsidR="00203A22" w:rsidRDefault="00203A22" w:rsidP="00DD323B">
            <w:pPr>
              <w:snapToGrid w:val="0"/>
            </w:pPr>
          </w:p>
        </w:tc>
        <w:tc>
          <w:tcPr>
            <w:tcW w:w="314" w:type="dxa"/>
            <w:tcBorders>
              <w:top w:val="single" w:sz="4" w:space="0" w:color="000000"/>
              <w:left w:val="single" w:sz="4" w:space="0" w:color="000000"/>
              <w:bottom w:val="single" w:sz="4" w:space="0" w:color="000000"/>
            </w:tcBorders>
            <w:shd w:val="clear" w:color="auto" w:fill="FFFFFF"/>
            <w:vAlign w:val="center"/>
          </w:tcPr>
          <w:p w14:paraId="35052382"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21300B3E" w14:textId="77777777" w:rsidR="00203A22" w:rsidRDefault="00203A22" w:rsidP="00DD323B">
            <w:pPr>
              <w:snapToGrid w:val="0"/>
            </w:pPr>
          </w:p>
        </w:tc>
        <w:tc>
          <w:tcPr>
            <w:tcW w:w="315" w:type="dxa"/>
            <w:tcBorders>
              <w:top w:val="single" w:sz="4" w:space="0" w:color="000000"/>
              <w:left w:val="single" w:sz="4" w:space="0" w:color="000000"/>
              <w:bottom w:val="single" w:sz="4" w:space="0" w:color="000000"/>
            </w:tcBorders>
            <w:shd w:val="clear" w:color="auto" w:fill="FFFFFF"/>
            <w:vAlign w:val="center"/>
          </w:tcPr>
          <w:p w14:paraId="4B2C1B45" w14:textId="77777777" w:rsidR="00203A22" w:rsidRDefault="00203A22" w:rsidP="00DD323B">
            <w:pPr>
              <w:snapToGrid w:val="0"/>
            </w:pPr>
          </w:p>
        </w:tc>
        <w:tc>
          <w:tcPr>
            <w:tcW w:w="338" w:type="dxa"/>
            <w:tcBorders>
              <w:top w:val="single" w:sz="4" w:space="0" w:color="000000"/>
              <w:left w:val="single" w:sz="4" w:space="0" w:color="000000"/>
              <w:bottom w:val="single" w:sz="4" w:space="0" w:color="000000"/>
            </w:tcBorders>
            <w:shd w:val="clear" w:color="auto" w:fill="FFFFFF"/>
            <w:vAlign w:val="center"/>
          </w:tcPr>
          <w:p w14:paraId="761F066C" w14:textId="77777777" w:rsidR="00203A22" w:rsidRDefault="00203A22" w:rsidP="00DD323B">
            <w:pPr>
              <w:snapToGrid w:val="0"/>
            </w:pPr>
          </w:p>
        </w:tc>
        <w:tc>
          <w:tcPr>
            <w:tcW w:w="337" w:type="dxa"/>
            <w:tcBorders>
              <w:top w:val="single" w:sz="4" w:space="0" w:color="000000"/>
              <w:left w:val="single" w:sz="4" w:space="0" w:color="000000"/>
              <w:bottom w:val="single" w:sz="4" w:space="0" w:color="000000"/>
            </w:tcBorders>
            <w:shd w:val="clear" w:color="auto" w:fill="FFFFFF"/>
            <w:vAlign w:val="center"/>
          </w:tcPr>
          <w:p w14:paraId="1F464DB4"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671FBE97" w14:textId="77777777" w:rsidR="00203A22" w:rsidRDefault="00203A22" w:rsidP="00DD323B">
            <w:pPr>
              <w:snapToGrid w:val="0"/>
            </w:pPr>
          </w:p>
        </w:tc>
        <w:tc>
          <w:tcPr>
            <w:tcW w:w="436" w:type="dxa"/>
            <w:tcBorders>
              <w:top w:val="single" w:sz="4" w:space="0" w:color="000000"/>
              <w:left w:val="single" w:sz="4" w:space="0" w:color="000000"/>
              <w:bottom w:val="single" w:sz="4" w:space="0" w:color="000000"/>
            </w:tcBorders>
            <w:shd w:val="clear" w:color="auto" w:fill="FFFFFF"/>
            <w:vAlign w:val="center"/>
          </w:tcPr>
          <w:p w14:paraId="47DF9CA5" w14:textId="77777777" w:rsidR="00203A22" w:rsidRDefault="00203A22" w:rsidP="00DD323B">
            <w:pPr>
              <w:snapToGrid w:val="0"/>
            </w:pPr>
          </w:p>
        </w:tc>
        <w:tc>
          <w:tcPr>
            <w:tcW w:w="412" w:type="dxa"/>
            <w:tcBorders>
              <w:top w:val="single" w:sz="4" w:space="0" w:color="000000"/>
              <w:left w:val="single" w:sz="4" w:space="0" w:color="000000"/>
              <w:bottom w:val="single" w:sz="4" w:space="0" w:color="000000"/>
            </w:tcBorders>
            <w:shd w:val="clear" w:color="auto" w:fill="FFFFFF"/>
            <w:vAlign w:val="center"/>
          </w:tcPr>
          <w:p w14:paraId="68892E18"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71BA4BD9"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12FCAAB6" w14:textId="77777777" w:rsidR="00203A22" w:rsidRDefault="00203A22" w:rsidP="00DD323B">
            <w:pPr>
              <w:snapToGrid w:val="0"/>
            </w:pPr>
          </w:p>
        </w:tc>
        <w:tc>
          <w:tcPr>
            <w:tcW w:w="381" w:type="dxa"/>
            <w:tcBorders>
              <w:top w:val="single" w:sz="4" w:space="0" w:color="000000"/>
              <w:left w:val="single" w:sz="4" w:space="0" w:color="000000"/>
              <w:bottom w:val="single" w:sz="4" w:space="0" w:color="000000"/>
            </w:tcBorders>
            <w:shd w:val="clear" w:color="auto" w:fill="FFFFFF"/>
            <w:vAlign w:val="center"/>
          </w:tcPr>
          <w:p w14:paraId="022DCABC"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31C72DC5" w14:textId="77777777" w:rsidR="00203A22" w:rsidRDefault="00203A22" w:rsidP="00DD323B">
            <w:pPr>
              <w:snapToGrid w:val="0"/>
            </w:pPr>
          </w:p>
        </w:tc>
        <w:tc>
          <w:tcPr>
            <w:tcW w:w="370" w:type="dxa"/>
            <w:tcBorders>
              <w:top w:val="single" w:sz="4" w:space="0" w:color="000000"/>
              <w:left w:val="single" w:sz="4" w:space="0" w:color="000000"/>
              <w:bottom w:val="single" w:sz="4" w:space="0" w:color="000000"/>
            </w:tcBorders>
            <w:shd w:val="clear" w:color="auto" w:fill="FFFFFF"/>
            <w:vAlign w:val="center"/>
          </w:tcPr>
          <w:p w14:paraId="41339D22" w14:textId="77777777" w:rsidR="00203A22" w:rsidRDefault="00203A22" w:rsidP="00DD323B">
            <w:pPr>
              <w:snapToGrid w:val="0"/>
            </w:pPr>
          </w:p>
        </w:tc>
        <w:tc>
          <w:tcPr>
            <w:tcW w:w="423" w:type="dxa"/>
            <w:tcBorders>
              <w:top w:val="single" w:sz="4" w:space="0" w:color="000000"/>
              <w:left w:val="single" w:sz="4" w:space="0" w:color="000000"/>
              <w:bottom w:val="single" w:sz="4" w:space="0" w:color="000000"/>
            </w:tcBorders>
            <w:shd w:val="clear" w:color="auto" w:fill="999999"/>
            <w:vAlign w:val="center"/>
          </w:tcPr>
          <w:p w14:paraId="74200587" w14:textId="77777777" w:rsidR="00203A22" w:rsidRDefault="00203A22" w:rsidP="00DD323B">
            <w:pPr>
              <w:rPr>
                <w:sz w:val="18"/>
                <w:szCs w:val="18"/>
              </w:rPr>
            </w:pPr>
            <w:r>
              <w:rPr>
                <w:sz w:val="12"/>
                <w:szCs w:val="12"/>
              </w:rPr>
              <w:t>MS</w:t>
            </w:r>
          </w:p>
          <w:p w14:paraId="0B8106A1" w14:textId="77777777" w:rsidR="00203A22" w:rsidRDefault="00203A22" w:rsidP="00DD323B">
            <w:r>
              <w:rPr>
                <w:sz w:val="18"/>
                <w:szCs w:val="18"/>
              </w:rPr>
              <w:t>G</w:t>
            </w:r>
          </w:p>
        </w:tc>
        <w:tc>
          <w:tcPr>
            <w:tcW w:w="402" w:type="dxa"/>
            <w:tcBorders>
              <w:top w:val="single" w:sz="4" w:space="0" w:color="000000"/>
              <w:left w:val="single" w:sz="4" w:space="0" w:color="000000"/>
              <w:bottom w:val="single" w:sz="4" w:space="0" w:color="000000"/>
            </w:tcBorders>
            <w:shd w:val="clear" w:color="auto" w:fill="FFFFFF"/>
            <w:vAlign w:val="center"/>
          </w:tcPr>
          <w:p w14:paraId="6FE80841"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3391A78A" w14:textId="77777777" w:rsidR="00203A22" w:rsidRDefault="00203A22" w:rsidP="00DD323B">
            <w:pPr>
              <w:snapToGrid w:val="0"/>
            </w:pPr>
          </w:p>
        </w:tc>
        <w:tc>
          <w:tcPr>
            <w:tcW w:w="391" w:type="dxa"/>
            <w:tcBorders>
              <w:top w:val="single" w:sz="4" w:space="0" w:color="000000"/>
              <w:left w:val="single" w:sz="4" w:space="0" w:color="000000"/>
              <w:bottom w:val="single" w:sz="4" w:space="0" w:color="000000"/>
            </w:tcBorders>
            <w:shd w:val="clear" w:color="auto" w:fill="FFFFFF"/>
            <w:vAlign w:val="center"/>
          </w:tcPr>
          <w:p w14:paraId="75D531C5" w14:textId="77777777" w:rsidR="00203A22" w:rsidRDefault="00203A22" w:rsidP="00DD323B">
            <w:pPr>
              <w:snapToGrid w:val="0"/>
            </w:pPr>
          </w:p>
        </w:tc>
        <w:tc>
          <w:tcPr>
            <w:tcW w:w="424" w:type="dxa"/>
            <w:tcBorders>
              <w:top w:val="single" w:sz="4" w:space="0" w:color="000000"/>
              <w:left w:val="single" w:sz="4" w:space="0" w:color="000000"/>
              <w:bottom w:val="single" w:sz="4" w:space="0" w:color="000000"/>
            </w:tcBorders>
            <w:shd w:val="clear" w:color="auto" w:fill="FFFFFF"/>
            <w:vAlign w:val="center"/>
          </w:tcPr>
          <w:p w14:paraId="0EE34E34"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shd w:val="clear" w:color="auto" w:fill="FFFFFF"/>
            <w:vAlign w:val="center"/>
          </w:tcPr>
          <w:p w14:paraId="413BC947" w14:textId="77777777" w:rsidR="00203A22" w:rsidRDefault="00203A22" w:rsidP="00DD323B">
            <w:pPr>
              <w:snapToGrid w:val="0"/>
            </w:pPr>
          </w:p>
        </w:tc>
        <w:tc>
          <w:tcPr>
            <w:tcW w:w="403" w:type="dxa"/>
            <w:tcBorders>
              <w:top w:val="single" w:sz="4" w:space="0" w:color="000000"/>
              <w:left w:val="single" w:sz="4" w:space="0" w:color="000000"/>
              <w:bottom w:val="single" w:sz="4" w:space="0" w:color="000000"/>
            </w:tcBorders>
            <w:vAlign w:val="center"/>
          </w:tcPr>
          <w:p w14:paraId="2DA57EF6" w14:textId="77777777" w:rsidR="00203A22" w:rsidRDefault="00203A22" w:rsidP="00DD323B">
            <w:pPr>
              <w:snapToGrid w:val="0"/>
            </w:pPr>
          </w:p>
        </w:tc>
        <w:tc>
          <w:tcPr>
            <w:tcW w:w="551" w:type="dxa"/>
            <w:tcBorders>
              <w:top w:val="single" w:sz="4" w:space="0" w:color="000000"/>
              <w:left w:val="single" w:sz="4" w:space="0" w:color="000000"/>
              <w:bottom w:val="single" w:sz="4" w:space="0" w:color="000000"/>
              <w:right w:val="single" w:sz="4" w:space="0" w:color="000000"/>
            </w:tcBorders>
            <w:vAlign w:val="center"/>
          </w:tcPr>
          <w:p w14:paraId="410478DC" w14:textId="77777777" w:rsidR="00203A22" w:rsidRDefault="00203A22" w:rsidP="00DD323B">
            <w:pPr>
              <w:snapToGrid w:val="0"/>
            </w:pPr>
          </w:p>
        </w:tc>
      </w:tr>
      <w:tr w:rsidR="005F4B92" w14:paraId="66AD8413" w14:textId="77777777" w:rsidTr="005F4B92">
        <w:trPr>
          <w:gridAfter w:val="1"/>
          <w:wAfter w:w="8" w:type="dxa"/>
          <w:trHeight w:val="925"/>
        </w:trPr>
        <w:tc>
          <w:tcPr>
            <w:tcW w:w="2476" w:type="dxa"/>
            <w:tcBorders>
              <w:left w:val="single" w:sz="4" w:space="0" w:color="000000"/>
              <w:bottom w:val="single" w:sz="4" w:space="0" w:color="000000"/>
            </w:tcBorders>
            <w:shd w:val="clear" w:color="auto" w:fill="FFFFFF"/>
            <w:vAlign w:val="center"/>
          </w:tcPr>
          <w:p w14:paraId="2A61FED5" w14:textId="77777777" w:rsidR="00203A22" w:rsidRDefault="00203A22" w:rsidP="00DD323B">
            <w:pPr>
              <w:keepNext/>
              <w:keepLines/>
            </w:pPr>
            <w:r>
              <w:rPr>
                <w:sz w:val="18"/>
                <w:szCs w:val="18"/>
              </w:rPr>
              <w:t>13. Resolution of comments, preparation of final draft for approval</w:t>
            </w:r>
          </w:p>
        </w:tc>
        <w:tc>
          <w:tcPr>
            <w:tcW w:w="315" w:type="dxa"/>
            <w:tcBorders>
              <w:left w:val="single" w:sz="4" w:space="0" w:color="000000"/>
              <w:bottom w:val="single" w:sz="4" w:space="0" w:color="000000"/>
            </w:tcBorders>
            <w:shd w:val="clear" w:color="auto" w:fill="FFFFFF"/>
            <w:vAlign w:val="center"/>
          </w:tcPr>
          <w:p w14:paraId="0C79E9E1" w14:textId="77777777" w:rsidR="00203A22" w:rsidRDefault="00203A22" w:rsidP="00DD323B">
            <w:pPr>
              <w:snapToGrid w:val="0"/>
            </w:pPr>
          </w:p>
        </w:tc>
        <w:tc>
          <w:tcPr>
            <w:tcW w:w="314" w:type="dxa"/>
            <w:tcBorders>
              <w:left w:val="single" w:sz="4" w:space="0" w:color="000000"/>
              <w:bottom w:val="single" w:sz="4" w:space="0" w:color="000000"/>
            </w:tcBorders>
            <w:shd w:val="clear" w:color="auto" w:fill="FFFFFF"/>
            <w:vAlign w:val="center"/>
          </w:tcPr>
          <w:p w14:paraId="3C0E0E91"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0251A280"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10D3C977" w14:textId="77777777" w:rsidR="00203A22" w:rsidRDefault="00203A22" w:rsidP="00DD323B">
            <w:pPr>
              <w:snapToGrid w:val="0"/>
            </w:pPr>
          </w:p>
        </w:tc>
        <w:tc>
          <w:tcPr>
            <w:tcW w:w="338" w:type="dxa"/>
            <w:tcBorders>
              <w:left w:val="single" w:sz="4" w:space="0" w:color="000000"/>
              <w:bottom w:val="single" w:sz="4" w:space="0" w:color="000000"/>
            </w:tcBorders>
            <w:shd w:val="clear" w:color="auto" w:fill="FFFFFF"/>
            <w:vAlign w:val="center"/>
          </w:tcPr>
          <w:p w14:paraId="27E4A038" w14:textId="77777777" w:rsidR="00203A22" w:rsidRDefault="00203A22" w:rsidP="00DD323B">
            <w:pPr>
              <w:snapToGrid w:val="0"/>
            </w:pPr>
          </w:p>
        </w:tc>
        <w:tc>
          <w:tcPr>
            <w:tcW w:w="337" w:type="dxa"/>
            <w:tcBorders>
              <w:left w:val="single" w:sz="4" w:space="0" w:color="000000"/>
              <w:bottom w:val="single" w:sz="4" w:space="0" w:color="000000"/>
            </w:tcBorders>
            <w:shd w:val="clear" w:color="auto" w:fill="FFFFFF"/>
            <w:vAlign w:val="center"/>
          </w:tcPr>
          <w:p w14:paraId="08E3417D"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11541448" w14:textId="77777777" w:rsidR="00203A22" w:rsidRDefault="00203A22" w:rsidP="00DD323B">
            <w:pPr>
              <w:snapToGrid w:val="0"/>
            </w:pPr>
          </w:p>
        </w:tc>
        <w:tc>
          <w:tcPr>
            <w:tcW w:w="436" w:type="dxa"/>
            <w:tcBorders>
              <w:left w:val="single" w:sz="4" w:space="0" w:color="000000"/>
              <w:bottom w:val="single" w:sz="4" w:space="0" w:color="000000"/>
            </w:tcBorders>
            <w:shd w:val="clear" w:color="auto" w:fill="FFFFFF"/>
            <w:vAlign w:val="center"/>
          </w:tcPr>
          <w:p w14:paraId="619AC6A7" w14:textId="77777777" w:rsidR="00203A22" w:rsidRDefault="00203A22" w:rsidP="00DD323B">
            <w:pPr>
              <w:snapToGrid w:val="0"/>
            </w:pPr>
          </w:p>
        </w:tc>
        <w:tc>
          <w:tcPr>
            <w:tcW w:w="412" w:type="dxa"/>
            <w:tcBorders>
              <w:left w:val="single" w:sz="4" w:space="0" w:color="000000"/>
              <w:bottom w:val="single" w:sz="4" w:space="0" w:color="000000"/>
            </w:tcBorders>
            <w:shd w:val="clear" w:color="auto" w:fill="FFFFFF"/>
            <w:vAlign w:val="center"/>
          </w:tcPr>
          <w:p w14:paraId="09C3CCDD"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3796E5BF"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32F8915A" w14:textId="77777777" w:rsidR="00203A22" w:rsidRDefault="00203A22" w:rsidP="00DD323B">
            <w:pPr>
              <w:snapToGrid w:val="0"/>
            </w:pPr>
          </w:p>
        </w:tc>
        <w:tc>
          <w:tcPr>
            <w:tcW w:w="381" w:type="dxa"/>
            <w:tcBorders>
              <w:left w:val="single" w:sz="4" w:space="0" w:color="000000"/>
              <w:bottom w:val="single" w:sz="4" w:space="0" w:color="000000"/>
            </w:tcBorders>
            <w:shd w:val="clear" w:color="auto" w:fill="FFFFFF"/>
            <w:vAlign w:val="center"/>
          </w:tcPr>
          <w:p w14:paraId="04ECEFAF"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10B3B2B7"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58DBDB6A" w14:textId="77777777" w:rsidR="00203A22" w:rsidRDefault="00203A22" w:rsidP="00DD323B">
            <w:pPr>
              <w:snapToGrid w:val="0"/>
            </w:pPr>
          </w:p>
        </w:tc>
        <w:tc>
          <w:tcPr>
            <w:tcW w:w="423" w:type="dxa"/>
            <w:tcBorders>
              <w:left w:val="single" w:sz="4" w:space="0" w:color="000000"/>
              <w:bottom w:val="single" w:sz="4" w:space="0" w:color="000000"/>
            </w:tcBorders>
            <w:shd w:val="clear" w:color="auto" w:fill="FFFFFF"/>
            <w:vAlign w:val="center"/>
          </w:tcPr>
          <w:p w14:paraId="057D4F8C" w14:textId="77777777" w:rsidR="00203A22" w:rsidRDefault="00203A22" w:rsidP="00DD323B">
            <w:pPr>
              <w:snapToGrid w:val="0"/>
            </w:pPr>
          </w:p>
        </w:tc>
        <w:tc>
          <w:tcPr>
            <w:tcW w:w="402" w:type="dxa"/>
            <w:tcBorders>
              <w:left w:val="single" w:sz="4" w:space="0" w:color="000000"/>
              <w:bottom w:val="single" w:sz="4" w:space="0" w:color="000000"/>
            </w:tcBorders>
            <w:shd w:val="clear" w:color="auto" w:fill="FFFFFF"/>
            <w:vAlign w:val="center"/>
          </w:tcPr>
          <w:p w14:paraId="33615FC3"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39A394A1" w14:textId="77777777" w:rsidR="00203A22" w:rsidRDefault="00203A22" w:rsidP="00DD323B">
            <w:pPr>
              <w:snapToGrid w:val="0"/>
            </w:pPr>
          </w:p>
        </w:tc>
        <w:tc>
          <w:tcPr>
            <w:tcW w:w="391" w:type="dxa"/>
            <w:tcBorders>
              <w:left w:val="single" w:sz="4" w:space="0" w:color="000000"/>
              <w:bottom w:val="single" w:sz="4" w:space="0" w:color="000000"/>
            </w:tcBorders>
            <w:shd w:val="clear" w:color="auto" w:fill="999999"/>
            <w:vAlign w:val="center"/>
          </w:tcPr>
          <w:p w14:paraId="5389C7B1" w14:textId="77777777" w:rsidR="00203A22" w:rsidRDefault="00203A22" w:rsidP="00DD323B">
            <w:pPr>
              <w:snapToGrid w:val="0"/>
            </w:pPr>
          </w:p>
        </w:tc>
        <w:tc>
          <w:tcPr>
            <w:tcW w:w="424" w:type="dxa"/>
            <w:tcBorders>
              <w:left w:val="single" w:sz="4" w:space="0" w:color="000000"/>
              <w:bottom w:val="single" w:sz="4" w:space="0" w:color="000000"/>
            </w:tcBorders>
            <w:shd w:val="clear" w:color="auto" w:fill="999999"/>
            <w:vAlign w:val="center"/>
          </w:tcPr>
          <w:p w14:paraId="67BEBE05" w14:textId="77777777" w:rsidR="00203A22" w:rsidRDefault="00203A22" w:rsidP="00DD323B">
            <w:pPr>
              <w:snapToGrid w:val="0"/>
            </w:pPr>
          </w:p>
        </w:tc>
        <w:tc>
          <w:tcPr>
            <w:tcW w:w="403" w:type="dxa"/>
            <w:tcBorders>
              <w:left w:val="single" w:sz="4" w:space="0" w:color="000000"/>
              <w:bottom w:val="single" w:sz="4" w:space="0" w:color="000000"/>
            </w:tcBorders>
            <w:shd w:val="clear" w:color="auto" w:fill="999999"/>
            <w:vAlign w:val="center"/>
          </w:tcPr>
          <w:p w14:paraId="1B8CB52A" w14:textId="77777777" w:rsidR="00203A22" w:rsidRDefault="00203A22" w:rsidP="00DD323B">
            <w:pPr>
              <w:snapToGrid w:val="0"/>
            </w:pPr>
          </w:p>
        </w:tc>
        <w:tc>
          <w:tcPr>
            <w:tcW w:w="403" w:type="dxa"/>
            <w:tcBorders>
              <w:left w:val="single" w:sz="4" w:space="0" w:color="000000"/>
              <w:bottom w:val="single" w:sz="4" w:space="0" w:color="000000"/>
            </w:tcBorders>
            <w:vAlign w:val="center"/>
          </w:tcPr>
          <w:p w14:paraId="000EBC97" w14:textId="77777777" w:rsidR="00203A22" w:rsidRDefault="00203A22" w:rsidP="00DD323B">
            <w:pPr>
              <w:snapToGrid w:val="0"/>
            </w:pPr>
          </w:p>
        </w:tc>
        <w:tc>
          <w:tcPr>
            <w:tcW w:w="551" w:type="dxa"/>
            <w:tcBorders>
              <w:left w:val="single" w:sz="4" w:space="0" w:color="000000"/>
              <w:bottom w:val="single" w:sz="4" w:space="0" w:color="000000"/>
              <w:right w:val="single" w:sz="4" w:space="0" w:color="000000"/>
            </w:tcBorders>
            <w:vAlign w:val="center"/>
          </w:tcPr>
          <w:p w14:paraId="5065A666" w14:textId="77777777" w:rsidR="00203A22" w:rsidRDefault="00203A22" w:rsidP="00DD323B">
            <w:pPr>
              <w:snapToGrid w:val="0"/>
            </w:pPr>
          </w:p>
        </w:tc>
      </w:tr>
      <w:tr w:rsidR="005F4B92" w14:paraId="31B76379" w14:textId="77777777" w:rsidTr="005F4B92">
        <w:trPr>
          <w:gridAfter w:val="1"/>
          <w:wAfter w:w="8" w:type="dxa"/>
          <w:trHeight w:val="925"/>
        </w:trPr>
        <w:tc>
          <w:tcPr>
            <w:tcW w:w="2476" w:type="dxa"/>
            <w:tcBorders>
              <w:left w:val="single" w:sz="4" w:space="0" w:color="000000"/>
              <w:bottom w:val="single" w:sz="4" w:space="0" w:color="000000"/>
            </w:tcBorders>
            <w:shd w:val="clear" w:color="auto" w:fill="FFFFFF"/>
            <w:vAlign w:val="center"/>
          </w:tcPr>
          <w:p w14:paraId="29B0BF65" w14:textId="77777777" w:rsidR="00203A22" w:rsidRDefault="00203A22" w:rsidP="00DD323B">
            <w:pPr>
              <w:keepNext/>
              <w:keepLines/>
            </w:pPr>
            <w:r>
              <w:rPr>
                <w:sz w:val="18"/>
                <w:szCs w:val="18"/>
              </w:rPr>
              <w:t>14. Final Report to Commission/</w:t>
            </w:r>
            <w:r>
              <w:rPr>
                <w:sz w:val="18"/>
                <w:szCs w:val="18"/>
              </w:rPr>
              <w:br/>
              <w:t>EFTA</w:t>
            </w:r>
          </w:p>
        </w:tc>
        <w:tc>
          <w:tcPr>
            <w:tcW w:w="315" w:type="dxa"/>
            <w:tcBorders>
              <w:left w:val="single" w:sz="4" w:space="0" w:color="000000"/>
              <w:bottom w:val="single" w:sz="4" w:space="0" w:color="000000"/>
            </w:tcBorders>
            <w:shd w:val="clear" w:color="auto" w:fill="FFFFFF"/>
            <w:vAlign w:val="center"/>
          </w:tcPr>
          <w:p w14:paraId="7CAB4E25" w14:textId="77777777" w:rsidR="00203A22" w:rsidRDefault="00203A22" w:rsidP="00DD323B">
            <w:pPr>
              <w:snapToGrid w:val="0"/>
            </w:pPr>
          </w:p>
        </w:tc>
        <w:tc>
          <w:tcPr>
            <w:tcW w:w="314" w:type="dxa"/>
            <w:tcBorders>
              <w:left w:val="single" w:sz="4" w:space="0" w:color="000000"/>
              <w:bottom w:val="single" w:sz="4" w:space="0" w:color="000000"/>
            </w:tcBorders>
            <w:shd w:val="clear" w:color="auto" w:fill="FFFFFF"/>
            <w:vAlign w:val="center"/>
          </w:tcPr>
          <w:p w14:paraId="52E1D415"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3C92002C" w14:textId="77777777" w:rsidR="00203A22" w:rsidRDefault="00203A22" w:rsidP="00DD323B">
            <w:pPr>
              <w:snapToGrid w:val="0"/>
            </w:pPr>
          </w:p>
        </w:tc>
        <w:tc>
          <w:tcPr>
            <w:tcW w:w="315" w:type="dxa"/>
            <w:tcBorders>
              <w:left w:val="single" w:sz="4" w:space="0" w:color="000000"/>
              <w:bottom w:val="single" w:sz="4" w:space="0" w:color="000000"/>
            </w:tcBorders>
            <w:shd w:val="clear" w:color="auto" w:fill="FFFFFF"/>
            <w:vAlign w:val="center"/>
          </w:tcPr>
          <w:p w14:paraId="481D69F5" w14:textId="77777777" w:rsidR="00203A22" w:rsidRDefault="00203A22" w:rsidP="00DD323B">
            <w:pPr>
              <w:snapToGrid w:val="0"/>
            </w:pPr>
          </w:p>
        </w:tc>
        <w:tc>
          <w:tcPr>
            <w:tcW w:w="338" w:type="dxa"/>
            <w:tcBorders>
              <w:left w:val="single" w:sz="4" w:space="0" w:color="000000"/>
              <w:bottom w:val="single" w:sz="4" w:space="0" w:color="000000"/>
            </w:tcBorders>
            <w:shd w:val="clear" w:color="auto" w:fill="FFFFFF"/>
            <w:vAlign w:val="center"/>
          </w:tcPr>
          <w:p w14:paraId="2B76AAE8" w14:textId="77777777" w:rsidR="00203A22" w:rsidRDefault="00203A22" w:rsidP="00DD323B">
            <w:pPr>
              <w:snapToGrid w:val="0"/>
            </w:pPr>
          </w:p>
        </w:tc>
        <w:tc>
          <w:tcPr>
            <w:tcW w:w="337" w:type="dxa"/>
            <w:tcBorders>
              <w:left w:val="single" w:sz="4" w:space="0" w:color="000000"/>
              <w:bottom w:val="single" w:sz="4" w:space="0" w:color="000000"/>
            </w:tcBorders>
            <w:shd w:val="clear" w:color="auto" w:fill="FFFFFF"/>
            <w:vAlign w:val="center"/>
          </w:tcPr>
          <w:p w14:paraId="02874407"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1A49676F" w14:textId="77777777" w:rsidR="00203A22" w:rsidRDefault="00203A22" w:rsidP="00DD323B">
            <w:pPr>
              <w:snapToGrid w:val="0"/>
            </w:pPr>
          </w:p>
        </w:tc>
        <w:tc>
          <w:tcPr>
            <w:tcW w:w="436" w:type="dxa"/>
            <w:tcBorders>
              <w:left w:val="single" w:sz="4" w:space="0" w:color="000000"/>
              <w:bottom w:val="single" w:sz="4" w:space="0" w:color="000000"/>
            </w:tcBorders>
            <w:shd w:val="clear" w:color="auto" w:fill="FFFFFF"/>
            <w:vAlign w:val="center"/>
          </w:tcPr>
          <w:p w14:paraId="0D11CB39" w14:textId="77777777" w:rsidR="00203A22" w:rsidRDefault="00203A22" w:rsidP="00DD323B">
            <w:pPr>
              <w:snapToGrid w:val="0"/>
            </w:pPr>
          </w:p>
        </w:tc>
        <w:tc>
          <w:tcPr>
            <w:tcW w:w="412" w:type="dxa"/>
            <w:tcBorders>
              <w:left w:val="single" w:sz="4" w:space="0" w:color="000000"/>
              <w:bottom w:val="single" w:sz="4" w:space="0" w:color="000000"/>
            </w:tcBorders>
            <w:shd w:val="clear" w:color="auto" w:fill="FFFFFF"/>
            <w:vAlign w:val="center"/>
          </w:tcPr>
          <w:p w14:paraId="7EADEF2B"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71BD3DED"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03FDB04D" w14:textId="77777777" w:rsidR="00203A22" w:rsidRDefault="00203A22" w:rsidP="00DD323B">
            <w:pPr>
              <w:snapToGrid w:val="0"/>
            </w:pPr>
          </w:p>
        </w:tc>
        <w:tc>
          <w:tcPr>
            <w:tcW w:w="381" w:type="dxa"/>
            <w:tcBorders>
              <w:left w:val="single" w:sz="4" w:space="0" w:color="000000"/>
              <w:bottom w:val="single" w:sz="4" w:space="0" w:color="000000"/>
            </w:tcBorders>
            <w:shd w:val="clear" w:color="auto" w:fill="FFFFFF"/>
            <w:vAlign w:val="center"/>
          </w:tcPr>
          <w:p w14:paraId="36612F8C"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4969E2D4" w14:textId="77777777" w:rsidR="00203A22" w:rsidRDefault="00203A22" w:rsidP="00DD323B">
            <w:pPr>
              <w:snapToGrid w:val="0"/>
            </w:pPr>
          </w:p>
        </w:tc>
        <w:tc>
          <w:tcPr>
            <w:tcW w:w="370" w:type="dxa"/>
            <w:tcBorders>
              <w:left w:val="single" w:sz="4" w:space="0" w:color="000000"/>
              <w:bottom w:val="single" w:sz="4" w:space="0" w:color="000000"/>
            </w:tcBorders>
            <w:shd w:val="clear" w:color="auto" w:fill="FFFFFF"/>
            <w:vAlign w:val="center"/>
          </w:tcPr>
          <w:p w14:paraId="7E2FB81A" w14:textId="77777777" w:rsidR="00203A22" w:rsidRDefault="00203A22" w:rsidP="00DD323B">
            <w:pPr>
              <w:snapToGrid w:val="0"/>
            </w:pPr>
          </w:p>
        </w:tc>
        <w:tc>
          <w:tcPr>
            <w:tcW w:w="423" w:type="dxa"/>
            <w:tcBorders>
              <w:left w:val="single" w:sz="4" w:space="0" w:color="000000"/>
              <w:bottom w:val="single" w:sz="4" w:space="0" w:color="000000"/>
            </w:tcBorders>
            <w:shd w:val="clear" w:color="auto" w:fill="FFFFFF"/>
            <w:vAlign w:val="center"/>
          </w:tcPr>
          <w:p w14:paraId="07B6BC87" w14:textId="77777777" w:rsidR="00203A22" w:rsidRDefault="00203A22" w:rsidP="00DD323B">
            <w:pPr>
              <w:snapToGrid w:val="0"/>
            </w:pPr>
          </w:p>
        </w:tc>
        <w:tc>
          <w:tcPr>
            <w:tcW w:w="402" w:type="dxa"/>
            <w:tcBorders>
              <w:left w:val="single" w:sz="4" w:space="0" w:color="000000"/>
              <w:bottom w:val="single" w:sz="4" w:space="0" w:color="000000"/>
            </w:tcBorders>
            <w:shd w:val="clear" w:color="auto" w:fill="FFFFFF"/>
            <w:vAlign w:val="center"/>
          </w:tcPr>
          <w:p w14:paraId="086B3CEC"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150CCDDA" w14:textId="77777777" w:rsidR="00203A22" w:rsidRDefault="00203A22" w:rsidP="00DD323B">
            <w:pPr>
              <w:snapToGrid w:val="0"/>
            </w:pPr>
          </w:p>
        </w:tc>
        <w:tc>
          <w:tcPr>
            <w:tcW w:w="391" w:type="dxa"/>
            <w:tcBorders>
              <w:left w:val="single" w:sz="4" w:space="0" w:color="000000"/>
              <w:bottom w:val="single" w:sz="4" w:space="0" w:color="000000"/>
            </w:tcBorders>
            <w:shd w:val="clear" w:color="auto" w:fill="FFFFFF"/>
            <w:vAlign w:val="center"/>
          </w:tcPr>
          <w:p w14:paraId="2741ECCD" w14:textId="77777777" w:rsidR="00203A22" w:rsidRDefault="00203A22" w:rsidP="00DD323B">
            <w:pPr>
              <w:snapToGrid w:val="0"/>
            </w:pPr>
          </w:p>
        </w:tc>
        <w:tc>
          <w:tcPr>
            <w:tcW w:w="424" w:type="dxa"/>
            <w:tcBorders>
              <w:left w:val="single" w:sz="4" w:space="0" w:color="000000"/>
              <w:bottom w:val="single" w:sz="4" w:space="0" w:color="000000"/>
            </w:tcBorders>
            <w:shd w:val="clear" w:color="auto" w:fill="FFFFFF"/>
            <w:vAlign w:val="center"/>
          </w:tcPr>
          <w:p w14:paraId="27264EB0" w14:textId="77777777" w:rsidR="00203A22" w:rsidRDefault="00203A22" w:rsidP="00DD323B">
            <w:pPr>
              <w:snapToGrid w:val="0"/>
            </w:pPr>
          </w:p>
        </w:tc>
        <w:tc>
          <w:tcPr>
            <w:tcW w:w="403" w:type="dxa"/>
            <w:tcBorders>
              <w:left w:val="single" w:sz="4" w:space="0" w:color="000000"/>
              <w:bottom w:val="single" w:sz="4" w:space="0" w:color="000000"/>
            </w:tcBorders>
            <w:shd w:val="clear" w:color="auto" w:fill="FFFFFF"/>
            <w:vAlign w:val="center"/>
          </w:tcPr>
          <w:p w14:paraId="03A58417" w14:textId="77777777" w:rsidR="00203A22" w:rsidRDefault="00203A22" w:rsidP="00DD323B">
            <w:pPr>
              <w:snapToGrid w:val="0"/>
            </w:pPr>
          </w:p>
        </w:tc>
        <w:tc>
          <w:tcPr>
            <w:tcW w:w="403" w:type="dxa"/>
            <w:tcBorders>
              <w:left w:val="single" w:sz="4" w:space="0" w:color="000000"/>
              <w:bottom w:val="single" w:sz="4" w:space="0" w:color="000000"/>
            </w:tcBorders>
            <w:vAlign w:val="center"/>
          </w:tcPr>
          <w:p w14:paraId="7FC92B23" w14:textId="77777777" w:rsidR="00203A22" w:rsidRDefault="00203A22" w:rsidP="00DD323B">
            <w:pPr>
              <w:snapToGrid w:val="0"/>
            </w:pPr>
          </w:p>
        </w:tc>
        <w:tc>
          <w:tcPr>
            <w:tcW w:w="551" w:type="dxa"/>
            <w:tcBorders>
              <w:left w:val="single" w:sz="4" w:space="0" w:color="000000"/>
              <w:bottom w:val="single" w:sz="4" w:space="0" w:color="000000"/>
              <w:right w:val="single" w:sz="4" w:space="0" w:color="000000"/>
            </w:tcBorders>
            <w:shd w:val="clear" w:color="auto" w:fill="A6A6A6" w:themeFill="background1" w:themeFillShade="A6"/>
            <w:vAlign w:val="center"/>
          </w:tcPr>
          <w:p w14:paraId="6388D42D" w14:textId="77777777" w:rsidR="00203A22" w:rsidRDefault="00203A22" w:rsidP="00DD323B">
            <w:pPr>
              <w:rPr>
                <w:sz w:val="18"/>
                <w:szCs w:val="18"/>
              </w:rPr>
            </w:pPr>
            <w:r>
              <w:rPr>
                <w:sz w:val="12"/>
                <w:szCs w:val="12"/>
              </w:rPr>
              <w:t>MS</w:t>
            </w:r>
          </w:p>
          <w:p w14:paraId="1340A2EF" w14:textId="77777777" w:rsidR="00203A22" w:rsidRDefault="00203A22" w:rsidP="00DD323B">
            <w:r>
              <w:rPr>
                <w:sz w:val="18"/>
                <w:szCs w:val="18"/>
              </w:rPr>
              <w:t>H</w:t>
            </w:r>
          </w:p>
        </w:tc>
      </w:tr>
    </w:tbl>
    <w:p w14:paraId="529ABAF4" w14:textId="77777777" w:rsidR="00203A22" w:rsidRDefault="00203A22" w:rsidP="00E46006"/>
    <w:p w14:paraId="4A7312A1" w14:textId="77777777" w:rsidR="005F4B92" w:rsidRPr="00B52A66" w:rsidRDefault="005F4B92" w:rsidP="005F4B92">
      <w:pPr>
        <w:tabs>
          <w:tab w:val="left" w:pos="567"/>
        </w:tabs>
        <w:spacing w:after="240" w:line="100" w:lineRule="atLeast"/>
        <w:rPr>
          <w:rFonts w:eastAsia="ArialMT"/>
          <w:color w:val="000000"/>
        </w:rPr>
      </w:pPr>
      <w:r>
        <w:rPr>
          <w:lang w:val="en-US"/>
        </w:rPr>
        <w:br w:type="page"/>
      </w:r>
      <w:r w:rsidRPr="00B52A66">
        <w:rPr>
          <w:rFonts w:eastAsia="ArialMT"/>
          <w:color w:val="000000"/>
        </w:rPr>
        <w:lastRenderedPageBreak/>
        <w:t>Following are the main activities the STF will undertake:</w:t>
      </w:r>
    </w:p>
    <w:p w14:paraId="3B9E8394"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1 – expert recruitment and set-up of the Specialist Task Force (to be performed by ETSI TC HF and the ETSI Administration).</w:t>
      </w:r>
    </w:p>
    <w:p w14:paraId="4B2A9D7B"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2 - detailed organisation of the activity including drafting and adoption of the work plan (months 3 and 4)</w:t>
      </w:r>
    </w:p>
    <w:p w14:paraId="3CE853EC"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3 - preparation and launch of the dedicated project website and subsequent maintenance (months 3 and 4, then throughout project)</w:t>
      </w:r>
    </w:p>
    <w:p w14:paraId="37E84F37"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4 - consultation of TCs, and other technical activities, EIP and MSP and other stakeholders (months 6-21)</w:t>
      </w:r>
    </w:p>
    <w:p w14:paraId="6633B995"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5 - preparation of material for and handling of first web meeting (months 6-9)</w:t>
      </w:r>
    </w:p>
    <w:p w14:paraId="696389B4"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6 - preparation of material for and handling of second web meeting (months 9-12)</w:t>
      </w:r>
    </w:p>
    <w:p w14:paraId="2AA6B2E8"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7 - preparation of first draft of the Technical Report and inclusion of ETSI HF comments for opening for public comment (months 10-14)</w:t>
      </w:r>
    </w:p>
    <w:p w14:paraId="582A3310"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8- preparation of draft interim report to EC and EFTA on the action (months 14 and 15)</w:t>
      </w:r>
    </w:p>
    <w:p w14:paraId="65F5E346"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9 - preparation and handling of open meeting to discuss draft report; preparation and execution of first stakeholder satisfaction survey (months 14-16)</w:t>
      </w:r>
    </w:p>
    <w:p w14:paraId="251CD4F0"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10 - preparation of proposals for the resolution of public comments and organisation of the resolution meeting (months 18-20)</w:t>
      </w:r>
    </w:p>
    <w:p w14:paraId="5E21D33A"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11 - preparation of final draft Technical Report, and its finalisation for publication following ETSI HF approval (months 19-21)</w:t>
      </w:r>
    </w:p>
    <w:p w14:paraId="52B14251"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12 – preparation and execution of final stakeholder satisfaction survey (months 20-22)</w:t>
      </w:r>
    </w:p>
    <w:p w14:paraId="754A0CFE" w14:textId="77777777" w:rsidR="005F4B92" w:rsidRPr="00B52A66" w:rsidRDefault="005F4B92" w:rsidP="005F4B92">
      <w:pPr>
        <w:tabs>
          <w:tab w:val="left" w:pos="20"/>
          <w:tab w:val="left" w:pos="380"/>
          <w:tab w:val="left" w:pos="567"/>
        </w:tabs>
        <w:spacing w:after="240" w:line="100" w:lineRule="atLeast"/>
        <w:ind w:left="360" w:hanging="360"/>
        <w:rPr>
          <w:rFonts w:eastAsia="ArialMT"/>
          <w:color w:val="000000"/>
        </w:rPr>
      </w:pPr>
      <w:r w:rsidRPr="00B52A66">
        <w:rPr>
          <w:rFonts w:eastAsia="ArialMT"/>
          <w:color w:val="000000"/>
        </w:rPr>
        <w:t>Task 13 - preparation of draft final report to EU and EFTA on the action (months 22-23)</w:t>
      </w:r>
    </w:p>
    <w:p w14:paraId="34E157DF" w14:textId="77777777" w:rsidR="005F4B92" w:rsidRPr="00B52A66" w:rsidRDefault="005F4B92" w:rsidP="005F4B92">
      <w:pPr>
        <w:tabs>
          <w:tab w:val="left" w:pos="20"/>
          <w:tab w:val="left" w:pos="380"/>
          <w:tab w:val="left" w:pos="567"/>
        </w:tabs>
        <w:spacing w:after="240" w:line="100" w:lineRule="atLeast"/>
        <w:ind w:left="360" w:hanging="360"/>
        <w:rPr>
          <w:rFonts w:eastAsia="TimesNewRomanPS-BoldMT"/>
          <w:b/>
          <w:bCs/>
          <w:color w:val="000000"/>
          <w:u w:val="single" w:color="000000"/>
        </w:rPr>
      </w:pPr>
      <w:r w:rsidRPr="00B52A66">
        <w:rPr>
          <w:rFonts w:eastAsia="ArialMT"/>
          <w:color w:val="000000"/>
        </w:rPr>
        <w:t>Task 14 - overall project management, Steering group, and presentations to relevant interested entities (all through)</w:t>
      </w:r>
    </w:p>
    <w:p w14:paraId="0F32099F" w14:textId="54435613" w:rsidR="005F4B92" w:rsidRPr="005F4B92" w:rsidRDefault="005F4B92" w:rsidP="005F4B92">
      <w:pPr>
        <w:tabs>
          <w:tab w:val="clear" w:pos="1418"/>
          <w:tab w:val="clear" w:pos="4678"/>
          <w:tab w:val="clear" w:pos="5954"/>
          <w:tab w:val="clear" w:pos="7088"/>
        </w:tabs>
        <w:overflowPunct/>
        <w:autoSpaceDE/>
        <w:autoSpaceDN/>
        <w:adjustRightInd/>
        <w:textAlignment w:val="auto"/>
      </w:pPr>
    </w:p>
    <w:p w14:paraId="29D337D9" w14:textId="77777777" w:rsidR="006A5009" w:rsidRDefault="006A5009" w:rsidP="00DF4ACD">
      <w:pPr>
        <w:keepNext/>
        <w:keepLines/>
        <w:jc w:val="left"/>
      </w:pPr>
    </w:p>
    <w:p w14:paraId="7180CA69" w14:textId="2036BEF9" w:rsidR="00DF4ACD" w:rsidRDefault="00DF4ACD" w:rsidP="00DF4ACD">
      <w:pPr>
        <w:keepNext/>
        <w:keepLines/>
        <w:jc w:val="left"/>
        <w:rPr>
          <w:b/>
          <w:u w:val="single"/>
        </w:rPr>
      </w:pPr>
      <w:r w:rsidRPr="00DF4ACD">
        <w:rPr>
          <w:b/>
          <w:u w:val="single"/>
        </w:rPr>
        <w:t xml:space="preserve">Table </w:t>
      </w:r>
      <w:r w:rsidR="0024009C">
        <w:rPr>
          <w:b/>
          <w:u w:val="single"/>
        </w:rPr>
        <w:t>2</w:t>
      </w:r>
      <w:r w:rsidRPr="00DF4ACD">
        <w:rPr>
          <w:b/>
          <w:u w:val="single"/>
        </w:rPr>
        <w:t xml:space="preserve">: </w:t>
      </w:r>
      <w:r w:rsidR="0073613B">
        <w:rPr>
          <w:b/>
          <w:u w:val="single"/>
        </w:rPr>
        <w:t xml:space="preserve">Proposed allocation of resources per </w:t>
      </w:r>
      <w:r w:rsidRPr="00DF4ACD">
        <w:rPr>
          <w:b/>
          <w:u w:val="single"/>
        </w:rPr>
        <w:t>Tasks</w:t>
      </w:r>
    </w:p>
    <w:p w14:paraId="4203A12E" w14:textId="617E5BB4" w:rsidR="0073613B" w:rsidRDefault="0073613B" w:rsidP="00DF4ACD">
      <w:pPr>
        <w:keepNext/>
        <w:keepLines/>
        <w:jc w:val="left"/>
        <w:rPr>
          <w:b/>
          <w:u w:val="single"/>
        </w:rPr>
      </w:pPr>
    </w:p>
    <w:p w14:paraId="62C978E1" w14:textId="77777777" w:rsidR="0073613B" w:rsidRDefault="0073613B" w:rsidP="0073613B">
      <w:r>
        <w:t>The following table details the proposed allocation of resources per task:</w:t>
      </w:r>
    </w:p>
    <w:p w14:paraId="4790E2D4" w14:textId="77777777" w:rsidR="0073613B" w:rsidRDefault="0073613B" w:rsidP="00DF4ACD">
      <w:pPr>
        <w:keepNext/>
        <w:keepLines/>
        <w:jc w:val="left"/>
        <w:rPr>
          <w:b/>
          <w:u w:val="single"/>
        </w:rPr>
      </w:pPr>
    </w:p>
    <w:p w14:paraId="2C938F90" w14:textId="15EC5A26" w:rsidR="0073613B" w:rsidRDefault="0073613B" w:rsidP="00DF4ACD">
      <w:pPr>
        <w:keepNext/>
        <w:keepLines/>
        <w:jc w:val="left"/>
        <w:rPr>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2386"/>
        <w:gridCol w:w="3669"/>
        <w:gridCol w:w="734"/>
        <w:gridCol w:w="2260"/>
      </w:tblGrid>
      <w:tr w:rsidR="0073613B" w14:paraId="28E82D28" w14:textId="77777777" w:rsidTr="00B52A66">
        <w:trPr>
          <w:tblHeader/>
        </w:trPr>
        <w:tc>
          <w:tcPr>
            <w:tcW w:w="614" w:type="dxa"/>
            <w:tcBorders>
              <w:top w:val="single" w:sz="1" w:space="0" w:color="000000"/>
              <w:left w:val="single" w:sz="1" w:space="0" w:color="000000"/>
              <w:bottom w:val="single" w:sz="1" w:space="0" w:color="000000"/>
            </w:tcBorders>
            <w:shd w:val="clear" w:color="auto" w:fill="auto"/>
          </w:tcPr>
          <w:p w14:paraId="08EEA2B2" w14:textId="77777777" w:rsidR="0073613B" w:rsidRDefault="0073613B" w:rsidP="00DD323B">
            <w:pPr>
              <w:pStyle w:val="Contenudetableau"/>
              <w:rPr>
                <w:rFonts w:ascii="Arial" w:hAnsi="Arial"/>
                <w:b/>
                <w:bCs/>
                <w:sz w:val="20"/>
                <w:szCs w:val="20"/>
              </w:rPr>
            </w:pPr>
            <w:r>
              <w:rPr>
                <w:rFonts w:ascii="Arial" w:hAnsi="Arial"/>
                <w:b/>
                <w:bCs/>
                <w:sz w:val="18"/>
                <w:szCs w:val="18"/>
              </w:rPr>
              <w:t>Activity No.</w:t>
            </w:r>
          </w:p>
        </w:tc>
        <w:tc>
          <w:tcPr>
            <w:tcW w:w="2386" w:type="dxa"/>
            <w:tcBorders>
              <w:top w:val="single" w:sz="1" w:space="0" w:color="000000"/>
              <w:left w:val="single" w:sz="1" w:space="0" w:color="000000"/>
              <w:bottom w:val="single" w:sz="1" w:space="0" w:color="000000"/>
            </w:tcBorders>
            <w:shd w:val="clear" w:color="auto" w:fill="auto"/>
          </w:tcPr>
          <w:p w14:paraId="45E42E60" w14:textId="77777777" w:rsidR="0073613B" w:rsidRDefault="0073613B" w:rsidP="00DD323B">
            <w:pPr>
              <w:pStyle w:val="Contenudetableau"/>
              <w:rPr>
                <w:rFonts w:ascii="Arial" w:hAnsi="Arial"/>
                <w:b/>
                <w:bCs/>
                <w:sz w:val="20"/>
                <w:szCs w:val="20"/>
              </w:rPr>
            </w:pPr>
            <w:r>
              <w:rPr>
                <w:rFonts w:ascii="Arial" w:hAnsi="Arial"/>
                <w:b/>
                <w:bCs/>
                <w:sz w:val="20"/>
                <w:szCs w:val="20"/>
              </w:rPr>
              <w:t>Title</w:t>
            </w:r>
          </w:p>
        </w:tc>
        <w:tc>
          <w:tcPr>
            <w:tcW w:w="3669" w:type="dxa"/>
            <w:tcBorders>
              <w:top w:val="single" w:sz="1" w:space="0" w:color="000000"/>
              <w:left w:val="single" w:sz="1" w:space="0" w:color="000000"/>
              <w:bottom w:val="single" w:sz="1" w:space="0" w:color="000000"/>
            </w:tcBorders>
            <w:shd w:val="clear" w:color="auto" w:fill="auto"/>
          </w:tcPr>
          <w:p w14:paraId="5DD3FD0D" w14:textId="77777777" w:rsidR="0073613B" w:rsidRDefault="0073613B" w:rsidP="00DD323B">
            <w:pPr>
              <w:pStyle w:val="Contenudetableau"/>
              <w:rPr>
                <w:rFonts w:ascii="Arial" w:hAnsi="Arial"/>
                <w:b/>
                <w:bCs/>
                <w:sz w:val="18"/>
                <w:szCs w:val="18"/>
              </w:rPr>
            </w:pPr>
            <w:r>
              <w:rPr>
                <w:rFonts w:ascii="Arial" w:hAnsi="Arial"/>
                <w:b/>
                <w:bCs/>
                <w:sz w:val="20"/>
                <w:szCs w:val="20"/>
              </w:rPr>
              <w:t>Description</w:t>
            </w:r>
          </w:p>
        </w:tc>
        <w:tc>
          <w:tcPr>
            <w:tcW w:w="734" w:type="dxa"/>
            <w:tcBorders>
              <w:top w:val="single" w:sz="1" w:space="0" w:color="000000"/>
              <w:left w:val="single" w:sz="1" w:space="0" w:color="000000"/>
              <w:bottom w:val="single" w:sz="1" w:space="0" w:color="000000"/>
            </w:tcBorders>
            <w:shd w:val="clear" w:color="auto" w:fill="auto"/>
          </w:tcPr>
          <w:p w14:paraId="289FD64F" w14:textId="77777777" w:rsidR="0073613B" w:rsidRDefault="0073613B" w:rsidP="00DD323B">
            <w:pPr>
              <w:pStyle w:val="Contenudetableau"/>
              <w:rPr>
                <w:rFonts w:ascii="Arial" w:hAnsi="Arial"/>
                <w:b/>
                <w:bCs/>
                <w:sz w:val="20"/>
                <w:szCs w:val="20"/>
              </w:rPr>
            </w:pPr>
            <w:r>
              <w:rPr>
                <w:rFonts w:ascii="Arial" w:hAnsi="Arial"/>
                <w:b/>
                <w:bCs/>
                <w:sz w:val="18"/>
                <w:szCs w:val="18"/>
              </w:rPr>
              <w:t>Est. effort</w:t>
            </w:r>
          </w:p>
        </w:tc>
        <w:tc>
          <w:tcPr>
            <w:tcW w:w="2260" w:type="dxa"/>
            <w:tcBorders>
              <w:top w:val="single" w:sz="1" w:space="0" w:color="000000"/>
              <w:left w:val="single" w:sz="1" w:space="0" w:color="000000"/>
              <w:bottom w:val="single" w:sz="1" w:space="0" w:color="000000"/>
              <w:right w:val="single" w:sz="1" w:space="0" w:color="000000"/>
            </w:tcBorders>
            <w:shd w:val="clear" w:color="auto" w:fill="auto"/>
          </w:tcPr>
          <w:p w14:paraId="16ED4E79" w14:textId="77777777" w:rsidR="0073613B" w:rsidRDefault="0073613B" w:rsidP="00DD323B">
            <w:pPr>
              <w:pStyle w:val="Contenudetableau"/>
            </w:pPr>
            <w:r>
              <w:rPr>
                <w:rFonts w:ascii="Arial" w:hAnsi="Arial"/>
                <w:b/>
                <w:bCs/>
                <w:sz w:val="20"/>
                <w:szCs w:val="20"/>
              </w:rPr>
              <w:t>Remarks</w:t>
            </w:r>
          </w:p>
        </w:tc>
      </w:tr>
      <w:tr w:rsidR="0073613B" w14:paraId="6151B9A3" w14:textId="77777777" w:rsidTr="00B52A66">
        <w:trPr>
          <w:tblHeader/>
        </w:trPr>
        <w:tc>
          <w:tcPr>
            <w:tcW w:w="614" w:type="dxa"/>
            <w:tcBorders>
              <w:top w:val="single" w:sz="1" w:space="0" w:color="000000"/>
              <w:left w:val="single" w:sz="1" w:space="0" w:color="000000"/>
              <w:bottom w:val="single" w:sz="1" w:space="0" w:color="000000"/>
            </w:tcBorders>
            <w:shd w:val="clear" w:color="auto" w:fill="auto"/>
          </w:tcPr>
          <w:p w14:paraId="6E193005" w14:textId="77777777" w:rsidR="0073613B" w:rsidRPr="00EC2F17" w:rsidRDefault="0073613B" w:rsidP="00DD323B">
            <w:pPr>
              <w:pStyle w:val="Contenudetableau"/>
              <w:rPr>
                <w:rFonts w:ascii="Arial" w:hAnsi="Arial"/>
                <w:bCs/>
                <w:sz w:val="18"/>
                <w:szCs w:val="18"/>
              </w:rPr>
            </w:pPr>
            <w:r w:rsidRPr="00EC2F17">
              <w:rPr>
                <w:rFonts w:ascii="Arial" w:hAnsi="Arial"/>
                <w:bCs/>
                <w:sz w:val="18"/>
                <w:szCs w:val="18"/>
              </w:rPr>
              <w:t>1</w:t>
            </w:r>
          </w:p>
        </w:tc>
        <w:tc>
          <w:tcPr>
            <w:tcW w:w="2386" w:type="dxa"/>
            <w:tcBorders>
              <w:top w:val="single" w:sz="1" w:space="0" w:color="000000"/>
              <w:left w:val="single" w:sz="1" w:space="0" w:color="000000"/>
              <w:bottom w:val="single" w:sz="1" w:space="0" w:color="000000"/>
            </w:tcBorders>
            <w:shd w:val="clear" w:color="auto" w:fill="auto"/>
          </w:tcPr>
          <w:p w14:paraId="57541D83" w14:textId="77777777" w:rsidR="0073613B" w:rsidRPr="00EC2F17" w:rsidRDefault="0073613B" w:rsidP="00DD323B">
            <w:pPr>
              <w:pStyle w:val="Contenudetableau"/>
              <w:rPr>
                <w:rFonts w:ascii="Arial" w:hAnsi="Arial"/>
                <w:bCs/>
                <w:sz w:val="20"/>
                <w:szCs w:val="20"/>
              </w:rPr>
            </w:pPr>
            <w:r>
              <w:rPr>
                <w:rFonts w:ascii="Arial" w:hAnsi="Arial"/>
                <w:bCs/>
                <w:sz w:val="20"/>
                <w:szCs w:val="20"/>
              </w:rPr>
              <w:t>Expert recruitment and organisational set-up</w:t>
            </w:r>
          </w:p>
        </w:tc>
        <w:tc>
          <w:tcPr>
            <w:tcW w:w="3669" w:type="dxa"/>
            <w:tcBorders>
              <w:top w:val="single" w:sz="1" w:space="0" w:color="000000"/>
              <w:left w:val="single" w:sz="1" w:space="0" w:color="000000"/>
              <w:bottom w:val="single" w:sz="1" w:space="0" w:color="000000"/>
            </w:tcBorders>
            <w:shd w:val="clear" w:color="auto" w:fill="auto"/>
          </w:tcPr>
          <w:p w14:paraId="50FD016E" w14:textId="77777777" w:rsidR="0073613B" w:rsidRPr="00EC2F17" w:rsidRDefault="0073613B" w:rsidP="00DD323B">
            <w:pPr>
              <w:pStyle w:val="Contenudetableau"/>
              <w:rPr>
                <w:rFonts w:ascii="Arial" w:hAnsi="Arial"/>
                <w:bCs/>
                <w:sz w:val="20"/>
                <w:szCs w:val="20"/>
              </w:rPr>
            </w:pPr>
            <w:r>
              <w:rPr>
                <w:rFonts w:ascii="Arial" w:hAnsi="Arial"/>
                <w:bCs/>
                <w:sz w:val="20"/>
                <w:szCs w:val="20"/>
              </w:rPr>
              <w:t xml:space="preserve">Expert selection </w:t>
            </w:r>
            <w:proofErr w:type="spellStart"/>
            <w:r>
              <w:rPr>
                <w:rFonts w:ascii="Arial" w:hAnsi="Arial"/>
                <w:bCs/>
                <w:sz w:val="20"/>
                <w:szCs w:val="20"/>
              </w:rPr>
              <w:t>snd</w:t>
            </w:r>
            <w:proofErr w:type="spellEnd"/>
            <w:r>
              <w:rPr>
                <w:rFonts w:ascii="Arial" w:hAnsi="Arial"/>
                <w:bCs/>
                <w:sz w:val="20"/>
                <w:szCs w:val="20"/>
              </w:rPr>
              <w:t xml:space="preserve"> organisational set-up</w:t>
            </w:r>
          </w:p>
        </w:tc>
        <w:tc>
          <w:tcPr>
            <w:tcW w:w="734" w:type="dxa"/>
            <w:tcBorders>
              <w:top w:val="single" w:sz="1" w:space="0" w:color="000000"/>
              <w:left w:val="single" w:sz="1" w:space="0" w:color="000000"/>
              <w:bottom w:val="single" w:sz="1" w:space="0" w:color="000000"/>
            </w:tcBorders>
            <w:shd w:val="clear" w:color="auto" w:fill="auto"/>
          </w:tcPr>
          <w:p w14:paraId="152CC6CF" w14:textId="77777777" w:rsidR="0073613B" w:rsidRPr="00EC2F17" w:rsidRDefault="0073613B" w:rsidP="00DD323B">
            <w:pPr>
              <w:pStyle w:val="Contenudetableau"/>
              <w:rPr>
                <w:rFonts w:ascii="Arial" w:hAnsi="Arial"/>
                <w:bCs/>
                <w:sz w:val="18"/>
                <w:szCs w:val="18"/>
              </w:rPr>
            </w:pPr>
            <w:r>
              <w:rPr>
                <w:rFonts w:ascii="Arial" w:hAnsi="Arial"/>
                <w:bCs/>
                <w:sz w:val="18"/>
                <w:szCs w:val="18"/>
              </w:rPr>
              <w:t>0</w:t>
            </w:r>
          </w:p>
        </w:tc>
        <w:tc>
          <w:tcPr>
            <w:tcW w:w="2260" w:type="dxa"/>
            <w:tcBorders>
              <w:top w:val="single" w:sz="1" w:space="0" w:color="000000"/>
              <w:left w:val="single" w:sz="1" w:space="0" w:color="000000"/>
              <w:bottom w:val="single" w:sz="1" w:space="0" w:color="000000"/>
              <w:right w:val="single" w:sz="1" w:space="0" w:color="000000"/>
            </w:tcBorders>
            <w:shd w:val="clear" w:color="auto" w:fill="auto"/>
          </w:tcPr>
          <w:p w14:paraId="71D3B19D" w14:textId="77777777" w:rsidR="0073613B" w:rsidRPr="00EC2F17" w:rsidRDefault="0073613B" w:rsidP="00DD323B">
            <w:pPr>
              <w:pStyle w:val="Contenudetableau"/>
              <w:rPr>
                <w:rFonts w:ascii="Arial" w:hAnsi="Arial"/>
                <w:bCs/>
                <w:sz w:val="20"/>
                <w:szCs w:val="20"/>
              </w:rPr>
            </w:pPr>
            <w:r>
              <w:rPr>
                <w:rFonts w:ascii="Arial" w:hAnsi="Arial"/>
                <w:bCs/>
                <w:sz w:val="20"/>
                <w:szCs w:val="20"/>
              </w:rPr>
              <w:t>To be covered by ETSI TC HF and ETSI Administration</w:t>
            </w:r>
          </w:p>
        </w:tc>
      </w:tr>
      <w:tr w:rsidR="0073613B" w14:paraId="5B2CDB5E" w14:textId="77777777" w:rsidTr="00B52A66">
        <w:trPr>
          <w:tblHeader/>
        </w:trPr>
        <w:tc>
          <w:tcPr>
            <w:tcW w:w="614" w:type="dxa"/>
            <w:tcBorders>
              <w:left w:val="single" w:sz="1" w:space="0" w:color="000000"/>
              <w:bottom w:val="single" w:sz="1" w:space="0" w:color="000000"/>
            </w:tcBorders>
            <w:shd w:val="clear" w:color="auto" w:fill="auto"/>
          </w:tcPr>
          <w:p w14:paraId="174B87BF" w14:textId="77777777" w:rsidR="0073613B" w:rsidRDefault="0073613B" w:rsidP="00DD323B">
            <w:pPr>
              <w:pStyle w:val="Contenudetableau"/>
              <w:rPr>
                <w:rFonts w:ascii="Arial" w:hAnsi="Arial"/>
                <w:sz w:val="20"/>
                <w:szCs w:val="20"/>
              </w:rPr>
            </w:pPr>
            <w:r>
              <w:rPr>
                <w:rFonts w:ascii="Arial" w:hAnsi="Arial"/>
                <w:sz w:val="20"/>
                <w:szCs w:val="20"/>
              </w:rPr>
              <w:t>2</w:t>
            </w:r>
          </w:p>
        </w:tc>
        <w:tc>
          <w:tcPr>
            <w:tcW w:w="2386" w:type="dxa"/>
            <w:tcBorders>
              <w:left w:val="single" w:sz="1" w:space="0" w:color="000000"/>
              <w:bottom w:val="single" w:sz="1" w:space="0" w:color="000000"/>
            </w:tcBorders>
            <w:shd w:val="clear" w:color="auto" w:fill="auto"/>
          </w:tcPr>
          <w:p w14:paraId="47A36295" w14:textId="77777777" w:rsidR="0073613B" w:rsidRDefault="0073613B" w:rsidP="00DD323B">
            <w:pPr>
              <w:pStyle w:val="Contenudetableau"/>
              <w:rPr>
                <w:rFonts w:ascii="Arial" w:hAnsi="Arial"/>
                <w:sz w:val="20"/>
                <w:szCs w:val="20"/>
              </w:rPr>
            </w:pPr>
            <w:r>
              <w:rPr>
                <w:rFonts w:ascii="Arial" w:hAnsi="Arial"/>
                <w:sz w:val="20"/>
                <w:szCs w:val="20"/>
              </w:rPr>
              <w:t>Project organisation</w:t>
            </w:r>
          </w:p>
        </w:tc>
        <w:tc>
          <w:tcPr>
            <w:tcW w:w="3669" w:type="dxa"/>
            <w:tcBorders>
              <w:left w:val="single" w:sz="1" w:space="0" w:color="000000"/>
              <w:bottom w:val="single" w:sz="1" w:space="0" w:color="000000"/>
            </w:tcBorders>
            <w:shd w:val="clear" w:color="auto" w:fill="auto"/>
          </w:tcPr>
          <w:p w14:paraId="6209D0CF" w14:textId="77777777" w:rsidR="0073613B" w:rsidRDefault="0073613B" w:rsidP="00DD323B">
            <w:pPr>
              <w:pStyle w:val="Contenudetableau"/>
              <w:rPr>
                <w:rFonts w:ascii="Arial" w:hAnsi="Arial"/>
                <w:sz w:val="20"/>
                <w:szCs w:val="20"/>
              </w:rPr>
            </w:pPr>
            <w:r>
              <w:rPr>
                <w:rFonts w:ascii="Arial" w:hAnsi="Arial"/>
                <w:sz w:val="20"/>
                <w:szCs w:val="20"/>
              </w:rPr>
              <w:t>First team meeting, drafting and agreement of work plan, creation of proposals for Steering group, etc.</w:t>
            </w:r>
          </w:p>
        </w:tc>
        <w:tc>
          <w:tcPr>
            <w:tcW w:w="734" w:type="dxa"/>
            <w:tcBorders>
              <w:left w:val="single" w:sz="1" w:space="0" w:color="000000"/>
              <w:bottom w:val="single" w:sz="1" w:space="0" w:color="000000"/>
            </w:tcBorders>
            <w:shd w:val="clear" w:color="auto" w:fill="auto"/>
          </w:tcPr>
          <w:p w14:paraId="2D9C7782" w14:textId="77777777" w:rsidR="0073613B" w:rsidRDefault="0073613B" w:rsidP="00DD323B">
            <w:pPr>
              <w:pStyle w:val="Contenudetableau"/>
              <w:rPr>
                <w:rFonts w:ascii="Arial" w:hAnsi="Arial"/>
                <w:sz w:val="20"/>
                <w:szCs w:val="20"/>
              </w:rPr>
            </w:pPr>
            <w:r>
              <w:rPr>
                <w:rFonts w:ascii="Arial" w:hAnsi="Arial"/>
                <w:sz w:val="20"/>
                <w:szCs w:val="20"/>
              </w:rPr>
              <w:t>20</w:t>
            </w:r>
          </w:p>
        </w:tc>
        <w:tc>
          <w:tcPr>
            <w:tcW w:w="2260" w:type="dxa"/>
            <w:tcBorders>
              <w:left w:val="single" w:sz="1" w:space="0" w:color="000000"/>
              <w:bottom w:val="single" w:sz="1" w:space="0" w:color="000000"/>
              <w:right w:val="single" w:sz="1" w:space="0" w:color="000000"/>
            </w:tcBorders>
            <w:shd w:val="clear" w:color="auto" w:fill="auto"/>
          </w:tcPr>
          <w:p w14:paraId="66A175B0" w14:textId="77777777" w:rsidR="0073613B" w:rsidRDefault="0073613B" w:rsidP="00DD323B">
            <w:pPr>
              <w:pStyle w:val="Contenudetableau"/>
            </w:pPr>
            <w:r>
              <w:rPr>
                <w:rFonts w:ascii="Arial" w:hAnsi="Arial"/>
                <w:sz w:val="20"/>
                <w:szCs w:val="20"/>
              </w:rPr>
              <w:t>Work Plan and Ref Group for TC approval.  Travel required.</w:t>
            </w:r>
          </w:p>
        </w:tc>
      </w:tr>
      <w:tr w:rsidR="0073613B" w14:paraId="2C9E389C" w14:textId="77777777" w:rsidTr="00B52A66">
        <w:trPr>
          <w:tblHeader/>
        </w:trPr>
        <w:tc>
          <w:tcPr>
            <w:tcW w:w="614" w:type="dxa"/>
            <w:tcBorders>
              <w:left w:val="single" w:sz="1" w:space="0" w:color="000000"/>
              <w:bottom w:val="single" w:sz="1" w:space="0" w:color="000000"/>
            </w:tcBorders>
            <w:shd w:val="clear" w:color="auto" w:fill="auto"/>
          </w:tcPr>
          <w:p w14:paraId="62E89DB5" w14:textId="77777777" w:rsidR="0073613B" w:rsidRDefault="0073613B" w:rsidP="00DD323B">
            <w:pPr>
              <w:pStyle w:val="Contenudetableau"/>
              <w:rPr>
                <w:rFonts w:ascii="Arial" w:hAnsi="Arial"/>
                <w:sz w:val="20"/>
                <w:szCs w:val="20"/>
              </w:rPr>
            </w:pPr>
            <w:r>
              <w:rPr>
                <w:rFonts w:ascii="Arial" w:hAnsi="Arial"/>
                <w:sz w:val="20"/>
                <w:szCs w:val="20"/>
              </w:rPr>
              <w:t>3</w:t>
            </w:r>
          </w:p>
        </w:tc>
        <w:tc>
          <w:tcPr>
            <w:tcW w:w="2386" w:type="dxa"/>
            <w:tcBorders>
              <w:left w:val="single" w:sz="1" w:space="0" w:color="000000"/>
              <w:bottom w:val="single" w:sz="1" w:space="0" w:color="000000"/>
            </w:tcBorders>
            <w:shd w:val="clear" w:color="auto" w:fill="auto"/>
          </w:tcPr>
          <w:p w14:paraId="10F70C90" w14:textId="77777777" w:rsidR="0073613B" w:rsidRDefault="0073613B" w:rsidP="00DD323B">
            <w:pPr>
              <w:pStyle w:val="Contenudetableau"/>
              <w:rPr>
                <w:rFonts w:ascii="Arial" w:hAnsi="Arial"/>
                <w:sz w:val="20"/>
                <w:szCs w:val="20"/>
              </w:rPr>
            </w:pPr>
            <w:r>
              <w:rPr>
                <w:rFonts w:ascii="Arial" w:hAnsi="Arial"/>
                <w:sz w:val="20"/>
                <w:szCs w:val="20"/>
              </w:rPr>
              <w:t>Website</w:t>
            </w:r>
          </w:p>
        </w:tc>
        <w:tc>
          <w:tcPr>
            <w:tcW w:w="3669" w:type="dxa"/>
            <w:tcBorders>
              <w:left w:val="single" w:sz="1" w:space="0" w:color="000000"/>
              <w:bottom w:val="single" w:sz="1" w:space="0" w:color="000000"/>
            </w:tcBorders>
            <w:shd w:val="clear" w:color="auto" w:fill="auto"/>
          </w:tcPr>
          <w:p w14:paraId="70A9A1B0" w14:textId="77777777" w:rsidR="0073613B" w:rsidRDefault="0073613B" w:rsidP="00DD323B">
            <w:pPr>
              <w:pStyle w:val="Contenudetableau"/>
              <w:rPr>
                <w:rFonts w:ascii="Arial" w:hAnsi="Arial"/>
                <w:sz w:val="20"/>
                <w:szCs w:val="20"/>
              </w:rPr>
            </w:pPr>
            <w:r>
              <w:rPr>
                <w:rFonts w:ascii="Arial" w:hAnsi="Arial"/>
                <w:sz w:val="20"/>
                <w:szCs w:val="20"/>
              </w:rPr>
              <w:t>Preparation and launch of site, ongoing maintenance throughout project lifespan</w:t>
            </w:r>
          </w:p>
        </w:tc>
        <w:tc>
          <w:tcPr>
            <w:tcW w:w="734" w:type="dxa"/>
            <w:tcBorders>
              <w:left w:val="single" w:sz="1" w:space="0" w:color="000000"/>
              <w:bottom w:val="single" w:sz="1" w:space="0" w:color="000000"/>
            </w:tcBorders>
            <w:shd w:val="clear" w:color="auto" w:fill="auto"/>
          </w:tcPr>
          <w:p w14:paraId="36ACD1AD" w14:textId="77777777" w:rsidR="0073613B" w:rsidRDefault="0073613B" w:rsidP="00DD323B">
            <w:pPr>
              <w:pStyle w:val="Contenudetableau"/>
              <w:rPr>
                <w:rFonts w:ascii="Arial" w:hAnsi="Arial"/>
                <w:sz w:val="20"/>
                <w:szCs w:val="20"/>
              </w:rPr>
            </w:pPr>
            <w:r>
              <w:rPr>
                <w:rFonts w:ascii="Arial" w:hAnsi="Arial"/>
                <w:sz w:val="20"/>
                <w:szCs w:val="20"/>
              </w:rPr>
              <w:t>10</w:t>
            </w:r>
          </w:p>
        </w:tc>
        <w:tc>
          <w:tcPr>
            <w:tcW w:w="2260" w:type="dxa"/>
            <w:tcBorders>
              <w:left w:val="single" w:sz="1" w:space="0" w:color="000000"/>
              <w:bottom w:val="single" w:sz="1" w:space="0" w:color="000000"/>
              <w:right w:val="single" w:sz="1" w:space="0" w:color="000000"/>
            </w:tcBorders>
            <w:shd w:val="clear" w:color="auto" w:fill="auto"/>
          </w:tcPr>
          <w:p w14:paraId="1EF4B3B0" w14:textId="77777777" w:rsidR="0073613B" w:rsidRDefault="0073613B" w:rsidP="00DD323B">
            <w:pPr>
              <w:pStyle w:val="Contenudetableau"/>
              <w:snapToGrid w:val="0"/>
              <w:rPr>
                <w:rFonts w:ascii="Arial" w:hAnsi="Arial"/>
                <w:sz w:val="20"/>
                <w:szCs w:val="20"/>
              </w:rPr>
            </w:pPr>
          </w:p>
        </w:tc>
      </w:tr>
      <w:tr w:rsidR="0073613B" w14:paraId="5DBCA4BC" w14:textId="77777777" w:rsidTr="00B52A66">
        <w:trPr>
          <w:tblHeader/>
        </w:trPr>
        <w:tc>
          <w:tcPr>
            <w:tcW w:w="614" w:type="dxa"/>
            <w:tcBorders>
              <w:left w:val="single" w:sz="1" w:space="0" w:color="000000"/>
              <w:bottom w:val="single" w:sz="1" w:space="0" w:color="000000"/>
            </w:tcBorders>
            <w:shd w:val="clear" w:color="auto" w:fill="auto"/>
          </w:tcPr>
          <w:p w14:paraId="4CEE9210" w14:textId="77777777" w:rsidR="0073613B" w:rsidRDefault="0073613B" w:rsidP="00DD323B">
            <w:pPr>
              <w:pStyle w:val="Contenudetableau"/>
              <w:rPr>
                <w:rFonts w:ascii="Arial" w:hAnsi="Arial"/>
                <w:sz w:val="20"/>
                <w:szCs w:val="20"/>
              </w:rPr>
            </w:pPr>
            <w:r>
              <w:rPr>
                <w:rFonts w:ascii="Arial" w:hAnsi="Arial"/>
                <w:sz w:val="20"/>
                <w:szCs w:val="20"/>
              </w:rPr>
              <w:t>4</w:t>
            </w:r>
          </w:p>
        </w:tc>
        <w:tc>
          <w:tcPr>
            <w:tcW w:w="2386" w:type="dxa"/>
            <w:tcBorders>
              <w:left w:val="single" w:sz="1" w:space="0" w:color="000000"/>
              <w:bottom w:val="single" w:sz="1" w:space="0" w:color="000000"/>
            </w:tcBorders>
            <w:shd w:val="clear" w:color="auto" w:fill="auto"/>
          </w:tcPr>
          <w:p w14:paraId="77663E09" w14:textId="77777777" w:rsidR="0073613B" w:rsidRDefault="0073613B" w:rsidP="00DD323B">
            <w:pPr>
              <w:pStyle w:val="Contenudetableau"/>
              <w:rPr>
                <w:rFonts w:ascii="Arial" w:hAnsi="Arial"/>
                <w:sz w:val="20"/>
                <w:szCs w:val="20"/>
              </w:rPr>
            </w:pPr>
            <w:r>
              <w:rPr>
                <w:rFonts w:ascii="Arial" w:hAnsi="Arial"/>
                <w:sz w:val="20"/>
                <w:szCs w:val="20"/>
              </w:rPr>
              <w:t>Consultation</w:t>
            </w:r>
          </w:p>
        </w:tc>
        <w:tc>
          <w:tcPr>
            <w:tcW w:w="3669" w:type="dxa"/>
            <w:tcBorders>
              <w:left w:val="single" w:sz="1" w:space="0" w:color="000000"/>
              <w:bottom w:val="single" w:sz="1" w:space="0" w:color="000000"/>
            </w:tcBorders>
            <w:shd w:val="clear" w:color="auto" w:fill="auto"/>
          </w:tcPr>
          <w:p w14:paraId="2866D163" w14:textId="77777777" w:rsidR="0073613B" w:rsidRDefault="0073613B" w:rsidP="00DD323B">
            <w:pPr>
              <w:pStyle w:val="Contenudetableau"/>
              <w:rPr>
                <w:rFonts w:ascii="Arial" w:hAnsi="Arial"/>
                <w:sz w:val="20"/>
                <w:szCs w:val="20"/>
              </w:rPr>
            </w:pPr>
            <w:r>
              <w:rPr>
                <w:rFonts w:ascii="Arial" w:hAnsi="Arial"/>
                <w:sz w:val="20"/>
                <w:szCs w:val="20"/>
              </w:rPr>
              <w:t>Outreach approaches to TCs, EIP, MSP, other stakeholders; dialogue as appropriate; recording/reporting of results</w:t>
            </w:r>
          </w:p>
        </w:tc>
        <w:tc>
          <w:tcPr>
            <w:tcW w:w="734" w:type="dxa"/>
            <w:tcBorders>
              <w:left w:val="single" w:sz="1" w:space="0" w:color="000000"/>
              <w:bottom w:val="single" w:sz="1" w:space="0" w:color="000000"/>
            </w:tcBorders>
            <w:shd w:val="clear" w:color="auto" w:fill="auto"/>
          </w:tcPr>
          <w:p w14:paraId="0B7B8F05" w14:textId="77777777" w:rsidR="0073613B" w:rsidRDefault="0073613B" w:rsidP="00DD323B">
            <w:pPr>
              <w:pStyle w:val="Contenudetableau"/>
              <w:rPr>
                <w:rFonts w:ascii="Arial" w:hAnsi="Arial"/>
                <w:sz w:val="20"/>
                <w:szCs w:val="20"/>
              </w:rPr>
            </w:pPr>
            <w:r>
              <w:rPr>
                <w:rFonts w:ascii="Arial" w:hAnsi="Arial"/>
                <w:sz w:val="20"/>
                <w:szCs w:val="20"/>
              </w:rPr>
              <w:t>30</w:t>
            </w:r>
          </w:p>
        </w:tc>
        <w:tc>
          <w:tcPr>
            <w:tcW w:w="2260" w:type="dxa"/>
            <w:tcBorders>
              <w:left w:val="single" w:sz="1" w:space="0" w:color="000000"/>
              <w:bottom w:val="single" w:sz="1" w:space="0" w:color="000000"/>
              <w:right w:val="single" w:sz="1" w:space="0" w:color="000000"/>
            </w:tcBorders>
            <w:shd w:val="clear" w:color="auto" w:fill="auto"/>
          </w:tcPr>
          <w:p w14:paraId="1E2A744E" w14:textId="77777777" w:rsidR="0073613B" w:rsidRDefault="0073613B" w:rsidP="00DD323B">
            <w:pPr>
              <w:pStyle w:val="Contenudetableau"/>
            </w:pPr>
            <w:r>
              <w:rPr>
                <w:rFonts w:ascii="Arial" w:hAnsi="Arial"/>
                <w:sz w:val="20"/>
                <w:szCs w:val="20"/>
              </w:rPr>
              <w:t>Fundamental to project, needs to be worked on throughout.  Some travel required.</w:t>
            </w:r>
          </w:p>
        </w:tc>
      </w:tr>
      <w:tr w:rsidR="0073613B" w14:paraId="65EF072D" w14:textId="77777777" w:rsidTr="00B52A66">
        <w:trPr>
          <w:tblHeader/>
        </w:trPr>
        <w:tc>
          <w:tcPr>
            <w:tcW w:w="614" w:type="dxa"/>
            <w:tcBorders>
              <w:left w:val="single" w:sz="1" w:space="0" w:color="000000"/>
              <w:bottom w:val="single" w:sz="1" w:space="0" w:color="000000"/>
            </w:tcBorders>
            <w:shd w:val="clear" w:color="auto" w:fill="auto"/>
          </w:tcPr>
          <w:p w14:paraId="29089651" w14:textId="77777777" w:rsidR="0073613B" w:rsidRDefault="0073613B" w:rsidP="00DD323B">
            <w:pPr>
              <w:pStyle w:val="Contenudetableau"/>
              <w:rPr>
                <w:rFonts w:ascii="Arial" w:hAnsi="Arial"/>
                <w:sz w:val="20"/>
                <w:szCs w:val="20"/>
              </w:rPr>
            </w:pPr>
            <w:r>
              <w:rPr>
                <w:rFonts w:ascii="Arial" w:hAnsi="Arial"/>
                <w:sz w:val="20"/>
                <w:szCs w:val="20"/>
              </w:rPr>
              <w:t>5</w:t>
            </w:r>
          </w:p>
        </w:tc>
        <w:tc>
          <w:tcPr>
            <w:tcW w:w="2386" w:type="dxa"/>
            <w:tcBorders>
              <w:left w:val="single" w:sz="1" w:space="0" w:color="000000"/>
              <w:bottom w:val="single" w:sz="1" w:space="0" w:color="000000"/>
            </w:tcBorders>
            <w:shd w:val="clear" w:color="auto" w:fill="auto"/>
          </w:tcPr>
          <w:p w14:paraId="497B68FB" w14:textId="77777777" w:rsidR="0073613B" w:rsidRDefault="0073613B" w:rsidP="00DD323B">
            <w:pPr>
              <w:pStyle w:val="Contenudetableau"/>
              <w:rPr>
                <w:rFonts w:ascii="Arial" w:hAnsi="Arial"/>
                <w:sz w:val="20"/>
                <w:szCs w:val="20"/>
              </w:rPr>
            </w:pPr>
            <w:r>
              <w:rPr>
                <w:rFonts w:ascii="Arial" w:hAnsi="Arial"/>
                <w:sz w:val="20"/>
                <w:szCs w:val="20"/>
              </w:rPr>
              <w:t xml:space="preserve">First web meeting </w:t>
            </w:r>
          </w:p>
        </w:tc>
        <w:tc>
          <w:tcPr>
            <w:tcW w:w="3669" w:type="dxa"/>
            <w:tcBorders>
              <w:left w:val="single" w:sz="1" w:space="0" w:color="000000"/>
              <w:bottom w:val="single" w:sz="1" w:space="0" w:color="000000"/>
            </w:tcBorders>
            <w:shd w:val="clear" w:color="auto" w:fill="auto"/>
          </w:tcPr>
          <w:p w14:paraId="1E7750EF" w14:textId="77777777" w:rsidR="0073613B" w:rsidRDefault="0073613B" w:rsidP="00DD323B">
            <w:pPr>
              <w:pStyle w:val="Contenudetableau"/>
              <w:rPr>
                <w:rFonts w:ascii="Arial" w:hAnsi="Arial"/>
                <w:sz w:val="20"/>
                <w:szCs w:val="20"/>
              </w:rPr>
            </w:pPr>
            <w:r>
              <w:rPr>
                <w:rFonts w:ascii="Arial" w:hAnsi="Arial"/>
                <w:sz w:val="20"/>
                <w:szCs w:val="20"/>
              </w:rPr>
              <w:t>Drafting material, organisation of meeting, recording/reporting results</w:t>
            </w:r>
          </w:p>
        </w:tc>
        <w:tc>
          <w:tcPr>
            <w:tcW w:w="734" w:type="dxa"/>
            <w:tcBorders>
              <w:left w:val="single" w:sz="1" w:space="0" w:color="000000"/>
              <w:bottom w:val="single" w:sz="1" w:space="0" w:color="000000"/>
            </w:tcBorders>
            <w:shd w:val="clear" w:color="auto" w:fill="auto"/>
          </w:tcPr>
          <w:p w14:paraId="62689BF1" w14:textId="77777777" w:rsidR="0073613B" w:rsidRDefault="0073613B" w:rsidP="00DD323B">
            <w:pPr>
              <w:pStyle w:val="Contenudetableau"/>
              <w:rPr>
                <w:rFonts w:ascii="Arial" w:hAnsi="Arial"/>
                <w:sz w:val="20"/>
                <w:szCs w:val="20"/>
              </w:rPr>
            </w:pPr>
            <w:r>
              <w:rPr>
                <w:rFonts w:ascii="Arial" w:hAnsi="Arial"/>
                <w:sz w:val="20"/>
                <w:szCs w:val="20"/>
              </w:rPr>
              <w:t>5</w:t>
            </w:r>
          </w:p>
        </w:tc>
        <w:tc>
          <w:tcPr>
            <w:tcW w:w="2260" w:type="dxa"/>
            <w:tcBorders>
              <w:left w:val="single" w:sz="1" w:space="0" w:color="000000"/>
              <w:bottom w:val="single" w:sz="1" w:space="0" w:color="000000"/>
              <w:right w:val="single" w:sz="1" w:space="0" w:color="000000"/>
            </w:tcBorders>
            <w:shd w:val="clear" w:color="auto" w:fill="auto"/>
          </w:tcPr>
          <w:p w14:paraId="62335274" w14:textId="77777777" w:rsidR="0073613B" w:rsidRDefault="0073613B" w:rsidP="00DD323B">
            <w:pPr>
              <w:pStyle w:val="Contenudetableau"/>
              <w:snapToGrid w:val="0"/>
              <w:rPr>
                <w:rFonts w:ascii="Arial" w:hAnsi="Arial"/>
                <w:sz w:val="20"/>
                <w:szCs w:val="20"/>
              </w:rPr>
            </w:pPr>
          </w:p>
        </w:tc>
      </w:tr>
      <w:tr w:rsidR="0073613B" w14:paraId="25BC701A" w14:textId="77777777" w:rsidTr="00B52A66">
        <w:trPr>
          <w:tblHeader/>
        </w:trPr>
        <w:tc>
          <w:tcPr>
            <w:tcW w:w="614" w:type="dxa"/>
            <w:tcBorders>
              <w:left w:val="single" w:sz="1" w:space="0" w:color="000000"/>
              <w:bottom w:val="single" w:sz="1" w:space="0" w:color="000000"/>
            </w:tcBorders>
            <w:shd w:val="clear" w:color="auto" w:fill="auto"/>
          </w:tcPr>
          <w:p w14:paraId="1DF33DCA" w14:textId="77777777" w:rsidR="0073613B" w:rsidRDefault="0073613B" w:rsidP="00DD323B">
            <w:pPr>
              <w:pStyle w:val="Contenudetableau"/>
              <w:rPr>
                <w:rFonts w:ascii="Arial" w:hAnsi="Arial"/>
                <w:sz w:val="20"/>
                <w:szCs w:val="20"/>
              </w:rPr>
            </w:pPr>
            <w:r>
              <w:rPr>
                <w:rFonts w:ascii="Arial" w:hAnsi="Arial"/>
                <w:sz w:val="20"/>
                <w:szCs w:val="20"/>
              </w:rPr>
              <w:t>6</w:t>
            </w:r>
          </w:p>
        </w:tc>
        <w:tc>
          <w:tcPr>
            <w:tcW w:w="2386" w:type="dxa"/>
            <w:tcBorders>
              <w:left w:val="single" w:sz="1" w:space="0" w:color="000000"/>
              <w:bottom w:val="single" w:sz="1" w:space="0" w:color="000000"/>
            </w:tcBorders>
            <w:shd w:val="clear" w:color="auto" w:fill="auto"/>
          </w:tcPr>
          <w:p w14:paraId="17962C34" w14:textId="77777777" w:rsidR="0073613B" w:rsidRDefault="0073613B" w:rsidP="00DD323B">
            <w:pPr>
              <w:pStyle w:val="Contenudetableau"/>
              <w:rPr>
                <w:rFonts w:ascii="Arial" w:hAnsi="Arial"/>
                <w:sz w:val="20"/>
                <w:szCs w:val="20"/>
              </w:rPr>
            </w:pPr>
            <w:r>
              <w:rPr>
                <w:rFonts w:ascii="Arial" w:hAnsi="Arial"/>
                <w:sz w:val="20"/>
                <w:szCs w:val="20"/>
              </w:rPr>
              <w:t>Second web meeting</w:t>
            </w:r>
          </w:p>
        </w:tc>
        <w:tc>
          <w:tcPr>
            <w:tcW w:w="3669" w:type="dxa"/>
            <w:tcBorders>
              <w:left w:val="single" w:sz="1" w:space="0" w:color="000000"/>
              <w:bottom w:val="single" w:sz="1" w:space="0" w:color="000000"/>
            </w:tcBorders>
            <w:shd w:val="clear" w:color="auto" w:fill="auto"/>
          </w:tcPr>
          <w:p w14:paraId="772A74BE" w14:textId="77777777" w:rsidR="0073613B" w:rsidRDefault="0073613B" w:rsidP="00DD323B">
            <w:pPr>
              <w:pStyle w:val="Contenudetableau"/>
              <w:rPr>
                <w:rFonts w:ascii="Arial" w:hAnsi="Arial"/>
                <w:sz w:val="20"/>
                <w:szCs w:val="20"/>
              </w:rPr>
            </w:pPr>
            <w:r>
              <w:rPr>
                <w:rFonts w:ascii="Arial" w:hAnsi="Arial"/>
                <w:sz w:val="20"/>
                <w:szCs w:val="20"/>
              </w:rPr>
              <w:t>Drafting material, organisation of meeting, recording/reporting results</w:t>
            </w:r>
          </w:p>
        </w:tc>
        <w:tc>
          <w:tcPr>
            <w:tcW w:w="734" w:type="dxa"/>
            <w:tcBorders>
              <w:left w:val="single" w:sz="1" w:space="0" w:color="000000"/>
              <w:bottom w:val="single" w:sz="1" w:space="0" w:color="000000"/>
            </w:tcBorders>
            <w:shd w:val="clear" w:color="auto" w:fill="auto"/>
          </w:tcPr>
          <w:p w14:paraId="32CDA385" w14:textId="77777777" w:rsidR="0073613B" w:rsidRDefault="0073613B" w:rsidP="00DD323B">
            <w:pPr>
              <w:pStyle w:val="Contenudetableau"/>
              <w:rPr>
                <w:rFonts w:ascii="Arial" w:hAnsi="Arial"/>
                <w:sz w:val="20"/>
                <w:szCs w:val="20"/>
              </w:rPr>
            </w:pPr>
            <w:r>
              <w:rPr>
                <w:rFonts w:ascii="Arial" w:hAnsi="Arial"/>
                <w:sz w:val="20"/>
                <w:szCs w:val="20"/>
              </w:rPr>
              <w:t>5</w:t>
            </w:r>
          </w:p>
        </w:tc>
        <w:tc>
          <w:tcPr>
            <w:tcW w:w="2260" w:type="dxa"/>
            <w:tcBorders>
              <w:left w:val="single" w:sz="1" w:space="0" w:color="000000"/>
              <w:bottom w:val="single" w:sz="1" w:space="0" w:color="000000"/>
              <w:right w:val="single" w:sz="1" w:space="0" w:color="000000"/>
            </w:tcBorders>
            <w:shd w:val="clear" w:color="auto" w:fill="auto"/>
          </w:tcPr>
          <w:p w14:paraId="160700F5" w14:textId="77777777" w:rsidR="0073613B" w:rsidRDefault="0073613B" w:rsidP="00DD323B">
            <w:pPr>
              <w:pStyle w:val="Contenudetableau"/>
              <w:snapToGrid w:val="0"/>
              <w:rPr>
                <w:rFonts w:ascii="Arial" w:hAnsi="Arial"/>
                <w:sz w:val="20"/>
                <w:szCs w:val="20"/>
              </w:rPr>
            </w:pPr>
          </w:p>
        </w:tc>
      </w:tr>
      <w:tr w:rsidR="0073613B" w14:paraId="56B8A9D7" w14:textId="77777777" w:rsidTr="00B52A66">
        <w:trPr>
          <w:tblHeader/>
        </w:trPr>
        <w:tc>
          <w:tcPr>
            <w:tcW w:w="614" w:type="dxa"/>
            <w:tcBorders>
              <w:left w:val="single" w:sz="1" w:space="0" w:color="000000"/>
              <w:bottom w:val="single" w:sz="1" w:space="0" w:color="000000"/>
            </w:tcBorders>
            <w:shd w:val="clear" w:color="auto" w:fill="auto"/>
          </w:tcPr>
          <w:p w14:paraId="492558A8"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7</w:t>
            </w:r>
          </w:p>
        </w:tc>
        <w:tc>
          <w:tcPr>
            <w:tcW w:w="2386" w:type="dxa"/>
            <w:tcBorders>
              <w:left w:val="single" w:sz="1" w:space="0" w:color="000000"/>
              <w:bottom w:val="single" w:sz="1" w:space="0" w:color="000000"/>
            </w:tcBorders>
            <w:shd w:val="clear" w:color="auto" w:fill="auto"/>
          </w:tcPr>
          <w:p w14:paraId="38C6FC40"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 xml:space="preserve">First draft of the Technical Report </w:t>
            </w:r>
          </w:p>
        </w:tc>
        <w:tc>
          <w:tcPr>
            <w:tcW w:w="3669" w:type="dxa"/>
            <w:tcBorders>
              <w:left w:val="single" w:sz="1" w:space="0" w:color="000000"/>
              <w:bottom w:val="single" w:sz="1" w:space="0" w:color="000000"/>
            </w:tcBorders>
            <w:shd w:val="clear" w:color="auto" w:fill="auto"/>
          </w:tcPr>
          <w:p w14:paraId="44C7E736"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 xml:space="preserve">Drafting material, consulting ETSI HF and incorporating their comments </w:t>
            </w:r>
          </w:p>
        </w:tc>
        <w:tc>
          <w:tcPr>
            <w:tcW w:w="734" w:type="dxa"/>
            <w:tcBorders>
              <w:left w:val="single" w:sz="1" w:space="0" w:color="000000"/>
              <w:bottom w:val="single" w:sz="1" w:space="0" w:color="000000"/>
            </w:tcBorders>
            <w:shd w:val="clear" w:color="auto" w:fill="auto"/>
          </w:tcPr>
          <w:p w14:paraId="43FDD2CA" w14:textId="77777777" w:rsidR="0073613B" w:rsidRDefault="0073613B" w:rsidP="00DD323B">
            <w:pPr>
              <w:pStyle w:val="Contenudetableau"/>
              <w:rPr>
                <w:rFonts w:ascii="Arial" w:hAnsi="Arial"/>
                <w:sz w:val="20"/>
                <w:szCs w:val="20"/>
              </w:rPr>
            </w:pPr>
            <w:r>
              <w:rPr>
                <w:rFonts w:ascii="Arial" w:hAnsi="Arial"/>
                <w:sz w:val="20"/>
                <w:szCs w:val="20"/>
              </w:rPr>
              <w:t>35</w:t>
            </w:r>
          </w:p>
        </w:tc>
        <w:tc>
          <w:tcPr>
            <w:tcW w:w="2260" w:type="dxa"/>
            <w:tcBorders>
              <w:left w:val="single" w:sz="1" w:space="0" w:color="000000"/>
              <w:bottom w:val="single" w:sz="1" w:space="0" w:color="000000"/>
              <w:right w:val="single" w:sz="1" w:space="0" w:color="000000"/>
            </w:tcBorders>
            <w:shd w:val="clear" w:color="auto" w:fill="auto"/>
          </w:tcPr>
          <w:p w14:paraId="7B8C76DB" w14:textId="77777777" w:rsidR="0073613B" w:rsidRDefault="0073613B" w:rsidP="00DD323B">
            <w:pPr>
              <w:pStyle w:val="Contenudetableau"/>
              <w:snapToGrid w:val="0"/>
              <w:rPr>
                <w:rFonts w:ascii="Arial" w:hAnsi="Arial"/>
                <w:sz w:val="20"/>
                <w:szCs w:val="20"/>
              </w:rPr>
            </w:pPr>
          </w:p>
        </w:tc>
      </w:tr>
      <w:tr w:rsidR="0073613B" w14:paraId="6B925616" w14:textId="77777777" w:rsidTr="00B52A66">
        <w:trPr>
          <w:tblHeader/>
        </w:trPr>
        <w:tc>
          <w:tcPr>
            <w:tcW w:w="614" w:type="dxa"/>
            <w:tcBorders>
              <w:left w:val="single" w:sz="1" w:space="0" w:color="000000"/>
              <w:bottom w:val="single" w:sz="1" w:space="0" w:color="000000"/>
            </w:tcBorders>
            <w:shd w:val="clear" w:color="auto" w:fill="auto"/>
          </w:tcPr>
          <w:p w14:paraId="055887BB"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8</w:t>
            </w:r>
          </w:p>
        </w:tc>
        <w:tc>
          <w:tcPr>
            <w:tcW w:w="2386" w:type="dxa"/>
            <w:tcBorders>
              <w:left w:val="single" w:sz="1" w:space="0" w:color="000000"/>
              <w:bottom w:val="single" w:sz="1" w:space="0" w:color="000000"/>
            </w:tcBorders>
            <w:shd w:val="clear" w:color="auto" w:fill="auto"/>
          </w:tcPr>
          <w:p w14:paraId="305BD69E"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Interim report on the action</w:t>
            </w:r>
          </w:p>
        </w:tc>
        <w:tc>
          <w:tcPr>
            <w:tcW w:w="3669" w:type="dxa"/>
            <w:tcBorders>
              <w:left w:val="single" w:sz="1" w:space="0" w:color="000000"/>
              <w:bottom w:val="single" w:sz="1" w:space="0" w:color="000000"/>
            </w:tcBorders>
            <w:shd w:val="clear" w:color="auto" w:fill="auto"/>
          </w:tcPr>
          <w:p w14:paraId="4E454264"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Drafting report for EC/EFTA on the action so far</w:t>
            </w:r>
          </w:p>
        </w:tc>
        <w:tc>
          <w:tcPr>
            <w:tcW w:w="734" w:type="dxa"/>
            <w:tcBorders>
              <w:left w:val="single" w:sz="1" w:space="0" w:color="000000"/>
              <w:bottom w:val="single" w:sz="1" w:space="0" w:color="000000"/>
            </w:tcBorders>
            <w:shd w:val="clear" w:color="auto" w:fill="auto"/>
          </w:tcPr>
          <w:p w14:paraId="5210CBBF" w14:textId="77777777" w:rsidR="0073613B" w:rsidRDefault="0073613B" w:rsidP="00DD323B">
            <w:pPr>
              <w:pStyle w:val="Contenudetableau"/>
              <w:rPr>
                <w:rFonts w:ascii="Arial" w:hAnsi="Arial"/>
                <w:sz w:val="20"/>
                <w:szCs w:val="20"/>
              </w:rPr>
            </w:pPr>
            <w:r>
              <w:rPr>
                <w:rFonts w:ascii="Arial" w:hAnsi="Arial"/>
                <w:sz w:val="20"/>
                <w:szCs w:val="20"/>
              </w:rPr>
              <w:t>3</w:t>
            </w:r>
          </w:p>
        </w:tc>
        <w:tc>
          <w:tcPr>
            <w:tcW w:w="2260" w:type="dxa"/>
            <w:tcBorders>
              <w:left w:val="single" w:sz="1" w:space="0" w:color="000000"/>
              <w:bottom w:val="single" w:sz="1" w:space="0" w:color="000000"/>
              <w:right w:val="single" w:sz="1" w:space="0" w:color="000000"/>
            </w:tcBorders>
            <w:shd w:val="clear" w:color="auto" w:fill="auto"/>
          </w:tcPr>
          <w:p w14:paraId="69653AEC" w14:textId="77777777" w:rsidR="0073613B" w:rsidRDefault="0073613B" w:rsidP="00DD323B">
            <w:pPr>
              <w:pStyle w:val="Contenudetableau"/>
              <w:snapToGrid w:val="0"/>
              <w:rPr>
                <w:rFonts w:ascii="Arial" w:hAnsi="Arial"/>
                <w:sz w:val="20"/>
                <w:szCs w:val="20"/>
              </w:rPr>
            </w:pPr>
          </w:p>
        </w:tc>
      </w:tr>
      <w:tr w:rsidR="0073613B" w14:paraId="376CD8C4" w14:textId="77777777" w:rsidTr="00B52A66">
        <w:trPr>
          <w:tblHeader/>
        </w:trPr>
        <w:tc>
          <w:tcPr>
            <w:tcW w:w="614" w:type="dxa"/>
            <w:tcBorders>
              <w:left w:val="single" w:sz="1" w:space="0" w:color="000000"/>
              <w:bottom w:val="single" w:sz="1" w:space="0" w:color="000000"/>
            </w:tcBorders>
            <w:shd w:val="clear" w:color="auto" w:fill="auto"/>
          </w:tcPr>
          <w:p w14:paraId="67FD687A"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9</w:t>
            </w:r>
          </w:p>
        </w:tc>
        <w:tc>
          <w:tcPr>
            <w:tcW w:w="2386" w:type="dxa"/>
            <w:tcBorders>
              <w:left w:val="single" w:sz="1" w:space="0" w:color="000000"/>
              <w:bottom w:val="single" w:sz="1" w:space="0" w:color="000000"/>
            </w:tcBorders>
            <w:shd w:val="clear" w:color="auto" w:fill="auto"/>
          </w:tcPr>
          <w:p w14:paraId="7F9DEC1B"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Open meeting to discuss draft Technical Report</w:t>
            </w:r>
          </w:p>
        </w:tc>
        <w:tc>
          <w:tcPr>
            <w:tcW w:w="3669" w:type="dxa"/>
            <w:tcBorders>
              <w:left w:val="single" w:sz="1" w:space="0" w:color="000000"/>
              <w:bottom w:val="single" w:sz="1" w:space="0" w:color="000000"/>
            </w:tcBorders>
            <w:shd w:val="clear" w:color="auto" w:fill="auto"/>
          </w:tcPr>
          <w:p w14:paraId="6877B534"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Organisation of meeting, recording results, preparing, executing and recording initial stakeholder satisfaction survey</w:t>
            </w:r>
          </w:p>
        </w:tc>
        <w:tc>
          <w:tcPr>
            <w:tcW w:w="734" w:type="dxa"/>
            <w:tcBorders>
              <w:left w:val="single" w:sz="1" w:space="0" w:color="000000"/>
              <w:bottom w:val="single" w:sz="1" w:space="0" w:color="000000"/>
            </w:tcBorders>
            <w:shd w:val="clear" w:color="auto" w:fill="auto"/>
          </w:tcPr>
          <w:p w14:paraId="536F6D39" w14:textId="77777777" w:rsidR="0073613B" w:rsidRDefault="0073613B" w:rsidP="00DD323B">
            <w:pPr>
              <w:pStyle w:val="Contenudetableau"/>
              <w:rPr>
                <w:rFonts w:ascii="Arial" w:hAnsi="Arial"/>
                <w:sz w:val="20"/>
                <w:szCs w:val="20"/>
              </w:rPr>
            </w:pPr>
            <w:r>
              <w:rPr>
                <w:rFonts w:ascii="Arial" w:hAnsi="Arial"/>
                <w:sz w:val="20"/>
                <w:szCs w:val="20"/>
              </w:rPr>
              <w:t>20</w:t>
            </w:r>
          </w:p>
        </w:tc>
        <w:tc>
          <w:tcPr>
            <w:tcW w:w="2260" w:type="dxa"/>
            <w:tcBorders>
              <w:left w:val="single" w:sz="1" w:space="0" w:color="000000"/>
              <w:bottom w:val="single" w:sz="1" w:space="0" w:color="000000"/>
              <w:right w:val="single" w:sz="1" w:space="0" w:color="000000"/>
            </w:tcBorders>
            <w:shd w:val="clear" w:color="auto" w:fill="auto"/>
          </w:tcPr>
          <w:p w14:paraId="74BDFBAC" w14:textId="77777777" w:rsidR="0073613B" w:rsidRDefault="0073613B" w:rsidP="00DD323B">
            <w:pPr>
              <w:pStyle w:val="Contenudetableau"/>
            </w:pPr>
            <w:r>
              <w:rPr>
                <w:rFonts w:ascii="Arial" w:hAnsi="Arial"/>
                <w:sz w:val="20"/>
                <w:szCs w:val="20"/>
              </w:rPr>
              <w:t>In collaboration with relevant ESO Secretariat.  Travel required.</w:t>
            </w:r>
          </w:p>
        </w:tc>
      </w:tr>
      <w:tr w:rsidR="0073613B" w14:paraId="34A28DB8" w14:textId="77777777" w:rsidTr="00B52A66">
        <w:trPr>
          <w:tblHeader/>
        </w:trPr>
        <w:tc>
          <w:tcPr>
            <w:tcW w:w="614" w:type="dxa"/>
            <w:tcBorders>
              <w:left w:val="single" w:sz="1" w:space="0" w:color="000000"/>
              <w:bottom w:val="single" w:sz="1" w:space="0" w:color="000000"/>
            </w:tcBorders>
            <w:shd w:val="clear" w:color="auto" w:fill="auto"/>
          </w:tcPr>
          <w:p w14:paraId="65C4A49A"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10</w:t>
            </w:r>
          </w:p>
        </w:tc>
        <w:tc>
          <w:tcPr>
            <w:tcW w:w="2386" w:type="dxa"/>
            <w:tcBorders>
              <w:left w:val="single" w:sz="1" w:space="0" w:color="000000"/>
              <w:bottom w:val="single" w:sz="1" w:space="0" w:color="000000"/>
            </w:tcBorders>
            <w:shd w:val="clear" w:color="auto" w:fill="auto"/>
          </w:tcPr>
          <w:p w14:paraId="43EB9A23"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Public comment process</w:t>
            </w:r>
          </w:p>
        </w:tc>
        <w:tc>
          <w:tcPr>
            <w:tcW w:w="3669" w:type="dxa"/>
            <w:tcBorders>
              <w:left w:val="single" w:sz="1" w:space="0" w:color="000000"/>
              <w:bottom w:val="single" w:sz="1" w:space="0" w:color="000000"/>
            </w:tcBorders>
            <w:shd w:val="clear" w:color="auto" w:fill="auto"/>
          </w:tcPr>
          <w:p w14:paraId="408503A9"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Preparation of proposals for the resolution of public comments and organisation of the resolution meeting</w:t>
            </w:r>
          </w:p>
        </w:tc>
        <w:tc>
          <w:tcPr>
            <w:tcW w:w="734" w:type="dxa"/>
            <w:tcBorders>
              <w:left w:val="single" w:sz="1" w:space="0" w:color="000000"/>
              <w:bottom w:val="single" w:sz="1" w:space="0" w:color="000000"/>
            </w:tcBorders>
            <w:shd w:val="clear" w:color="auto" w:fill="auto"/>
          </w:tcPr>
          <w:p w14:paraId="49EA4728" w14:textId="77777777" w:rsidR="0073613B" w:rsidRDefault="0073613B" w:rsidP="00DD323B">
            <w:pPr>
              <w:pStyle w:val="Contenudetableau"/>
              <w:rPr>
                <w:rFonts w:ascii="Arial" w:hAnsi="Arial"/>
                <w:sz w:val="20"/>
                <w:szCs w:val="20"/>
              </w:rPr>
            </w:pPr>
            <w:r>
              <w:rPr>
                <w:rFonts w:ascii="Arial" w:hAnsi="Arial"/>
                <w:sz w:val="20"/>
                <w:szCs w:val="20"/>
              </w:rPr>
              <w:t>5</w:t>
            </w:r>
          </w:p>
        </w:tc>
        <w:tc>
          <w:tcPr>
            <w:tcW w:w="2260" w:type="dxa"/>
            <w:tcBorders>
              <w:left w:val="single" w:sz="1" w:space="0" w:color="000000"/>
              <w:bottom w:val="single" w:sz="1" w:space="0" w:color="000000"/>
              <w:right w:val="single" w:sz="1" w:space="0" w:color="000000"/>
            </w:tcBorders>
            <w:shd w:val="clear" w:color="auto" w:fill="auto"/>
          </w:tcPr>
          <w:p w14:paraId="3BB89E6D" w14:textId="77777777" w:rsidR="0073613B" w:rsidRDefault="0073613B" w:rsidP="00DD323B">
            <w:pPr>
              <w:pStyle w:val="Contenudetableau"/>
              <w:snapToGrid w:val="0"/>
              <w:rPr>
                <w:rFonts w:ascii="Arial" w:hAnsi="Arial"/>
                <w:sz w:val="20"/>
                <w:szCs w:val="20"/>
              </w:rPr>
            </w:pPr>
          </w:p>
        </w:tc>
      </w:tr>
      <w:tr w:rsidR="0073613B" w14:paraId="4A6AA871" w14:textId="77777777" w:rsidTr="00B52A66">
        <w:trPr>
          <w:tblHeader/>
        </w:trPr>
        <w:tc>
          <w:tcPr>
            <w:tcW w:w="614" w:type="dxa"/>
            <w:tcBorders>
              <w:left w:val="single" w:sz="1" w:space="0" w:color="000000"/>
              <w:bottom w:val="single" w:sz="1" w:space="0" w:color="000000"/>
            </w:tcBorders>
            <w:shd w:val="clear" w:color="auto" w:fill="auto"/>
          </w:tcPr>
          <w:p w14:paraId="5B23A8AE"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11</w:t>
            </w:r>
          </w:p>
        </w:tc>
        <w:tc>
          <w:tcPr>
            <w:tcW w:w="2386" w:type="dxa"/>
            <w:tcBorders>
              <w:left w:val="single" w:sz="1" w:space="0" w:color="000000"/>
              <w:bottom w:val="single" w:sz="1" w:space="0" w:color="000000"/>
            </w:tcBorders>
            <w:shd w:val="clear" w:color="auto" w:fill="auto"/>
          </w:tcPr>
          <w:p w14:paraId="020AF714"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Preparation of final draft Technical Report</w:t>
            </w:r>
          </w:p>
        </w:tc>
        <w:tc>
          <w:tcPr>
            <w:tcW w:w="3669" w:type="dxa"/>
            <w:tcBorders>
              <w:left w:val="single" w:sz="1" w:space="0" w:color="000000"/>
              <w:bottom w:val="single" w:sz="1" w:space="0" w:color="000000"/>
            </w:tcBorders>
            <w:shd w:val="clear" w:color="auto" w:fill="auto"/>
          </w:tcPr>
          <w:p w14:paraId="79B561E6"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Following resolution meeting, and includes editing final version for publication following ETSI HF approval</w:t>
            </w:r>
          </w:p>
        </w:tc>
        <w:tc>
          <w:tcPr>
            <w:tcW w:w="734" w:type="dxa"/>
            <w:tcBorders>
              <w:left w:val="single" w:sz="1" w:space="0" w:color="000000"/>
              <w:bottom w:val="single" w:sz="1" w:space="0" w:color="000000"/>
            </w:tcBorders>
            <w:shd w:val="clear" w:color="auto" w:fill="auto"/>
          </w:tcPr>
          <w:p w14:paraId="3E79B822" w14:textId="77777777" w:rsidR="0073613B" w:rsidRDefault="0073613B" w:rsidP="00DD323B">
            <w:pPr>
              <w:pStyle w:val="Contenudetableau"/>
              <w:rPr>
                <w:rFonts w:ascii="Arial" w:hAnsi="Arial"/>
                <w:sz w:val="20"/>
                <w:szCs w:val="20"/>
              </w:rPr>
            </w:pPr>
            <w:r>
              <w:rPr>
                <w:rFonts w:ascii="Arial" w:hAnsi="Arial"/>
                <w:sz w:val="20"/>
                <w:szCs w:val="20"/>
              </w:rPr>
              <w:t>10</w:t>
            </w:r>
          </w:p>
        </w:tc>
        <w:tc>
          <w:tcPr>
            <w:tcW w:w="2260" w:type="dxa"/>
            <w:tcBorders>
              <w:left w:val="single" w:sz="1" w:space="0" w:color="000000"/>
              <w:bottom w:val="single" w:sz="1" w:space="0" w:color="000000"/>
              <w:right w:val="single" w:sz="1" w:space="0" w:color="000000"/>
            </w:tcBorders>
            <w:shd w:val="clear" w:color="auto" w:fill="auto"/>
          </w:tcPr>
          <w:p w14:paraId="5E99B968" w14:textId="77777777" w:rsidR="0073613B" w:rsidRDefault="0073613B" w:rsidP="00DD323B">
            <w:pPr>
              <w:pStyle w:val="Contenudetableau"/>
              <w:snapToGrid w:val="0"/>
              <w:rPr>
                <w:rFonts w:ascii="Arial" w:hAnsi="Arial"/>
                <w:sz w:val="20"/>
                <w:szCs w:val="20"/>
              </w:rPr>
            </w:pPr>
          </w:p>
        </w:tc>
      </w:tr>
      <w:tr w:rsidR="0073613B" w14:paraId="55BB93A6" w14:textId="77777777" w:rsidTr="00B52A66">
        <w:trPr>
          <w:tblHeader/>
        </w:trPr>
        <w:tc>
          <w:tcPr>
            <w:tcW w:w="614" w:type="dxa"/>
            <w:tcBorders>
              <w:left w:val="single" w:sz="1" w:space="0" w:color="000000"/>
              <w:bottom w:val="single" w:sz="1" w:space="0" w:color="000000"/>
            </w:tcBorders>
            <w:shd w:val="clear" w:color="auto" w:fill="auto"/>
          </w:tcPr>
          <w:p w14:paraId="78CCD2D6"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12</w:t>
            </w:r>
          </w:p>
        </w:tc>
        <w:tc>
          <w:tcPr>
            <w:tcW w:w="2386" w:type="dxa"/>
            <w:tcBorders>
              <w:left w:val="single" w:sz="1" w:space="0" w:color="000000"/>
              <w:bottom w:val="single" w:sz="1" w:space="0" w:color="000000"/>
            </w:tcBorders>
            <w:shd w:val="clear" w:color="auto" w:fill="auto"/>
          </w:tcPr>
          <w:p w14:paraId="64C14923"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Final stakeholder satisfaction survey</w:t>
            </w:r>
          </w:p>
        </w:tc>
        <w:tc>
          <w:tcPr>
            <w:tcW w:w="3669" w:type="dxa"/>
            <w:tcBorders>
              <w:left w:val="single" w:sz="1" w:space="0" w:color="000000"/>
              <w:bottom w:val="single" w:sz="1" w:space="0" w:color="000000"/>
            </w:tcBorders>
            <w:shd w:val="clear" w:color="auto" w:fill="auto"/>
          </w:tcPr>
          <w:p w14:paraId="661FA50B"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Preparing and executing survey, recording results</w:t>
            </w:r>
          </w:p>
        </w:tc>
        <w:tc>
          <w:tcPr>
            <w:tcW w:w="734" w:type="dxa"/>
            <w:tcBorders>
              <w:left w:val="single" w:sz="1" w:space="0" w:color="000000"/>
              <w:bottom w:val="single" w:sz="1" w:space="0" w:color="000000"/>
            </w:tcBorders>
            <w:shd w:val="clear" w:color="auto" w:fill="auto"/>
          </w:tcPr>
          <w:p w14:paraId="670B9553" w14:textId="77777777" w:rsidR="0073613B" w:rsidRDefault="0073613B" w:rsidP="00DD323B">
            <w:pPr>
              <w:pStyle w:val="Contenudetableau"/>
              <w:rPr>
                <w:rFonts w:ascii="Arial" w:hAnsi="Arial"/>
                <w:sz w:val="20"/>
                <w:szCs w:val="20"/>
              </w:rPr>
            </w:pPr>
            <w:r>
              <w:rPr>
                <w:rFonts w:ascii="Arial" w:hAnsi="Arial"/>
                <w:sz w:val="20"/>
                <w:szCs w:val="20"/>
              </w:rPr>
              <w:t>4</w:t>
            </w:r>
          </w:p>
        </w:tc>
        <w:tc>
          <w:tcPr>
            <w:tcW w:w="2260" w:type="dxa"/>
            <w:tcBorders>
              <w:left w:val="single" w:sz="1" w:space="0" w:color="000000"/>
              <w:bottom w:val="single" w:sz="1" w:space="0" w:color="000000"/>
              <w:right w:val="single" w:sz="1" w:space="0" w:color="000000"/>
            </w:tcBorders>
            <w:shd w:val="clear" w:color="auto" w:fill="auto"/>
          </w:tcPr>
          <w:p w14:paraId="426C746F" w14:textId="77777777" w:rsidR="0073613B" w:rsidRDefault="0073613B" w:rsidP="00DD323B">
            <w:pPr>
              <w:pStyle w:val="Contenudetableau"/>
              <w:snapToGrid w:val="0"/>
              <w:rPr>
                <w:rFonts w:ascii="Arial" w:hAnsi="Arial"/>
                <w:sz w:val="20"/>
                <w:szCs w:val="20"/>
              </w:rPr>
            </w:pPr>
          </w:p>
        </w:tc>
      </w:tr>
      <w:tr w:rsidR="0073613B" w14:paraId="6090728D" w14:textId="77777777" w:rsidTr="00B52A66">
        <w:trPr>
          <w:tblHeader/>
        </w:trPr>
        <w:tc>
          <w:tcPr>
            <w:tcW w:w="614" w:type="dxa"/>
            <w:tcBorders>
              <w:left w:val="single" w:sz="1" w:space="0" w:color="000000"/>
              <w:bottom w:val="single" w:sz="1" w:space="0" w:color="000000"/>
            </w:tcBorders>
            <w:shd w:val="clear" w:color="auto" w:fill="auto"/>
          </w:tcPr>
          <w:p w14:paraId="181C3288"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13</w:t>
            </w:r>
          </w:p>
        </w:tc>
        <w:tc>
          <w:tcPr>
            <w:tcW w:w="2386" w:type="dxa"/>
            <w:tcBorders>
              <w:left w:val="single" w:sz="1" w:space="0" w:color="000000"/>
              <w:bottom w:val="single" w:sz="1" w:space="0" w:color="000000"/>
            </w:tcBorders>
            <w:shd w:val="clear" w:color="auto" w:fill="auto"/>
          </w:tcPr>
          <w:p w14:paraId="0CCB3C1D"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 xml:space="preserve">Final report on the action </w:t>
            </w:r>
          </w:p>
        </w:tc>
        <w:tc>
          <w:tcPr>
            <w:tcW w:w="3669" w:type="dxa"/>
            <w:tcBorders>
              <w:left w:val="single" w:sz="1" w:space="0" w:color="000000"/>
              <w:bottom w:val="single" w:sz="1" w:space="0" w:color="000000"/>
            </w:tcBorders>
            <w:shd w:val="clear" w:color="auto" w:fill="auto"/>
          </w:tcPr>
          <w:p w14:paraId="6BCDDA8E"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Drafting final report for EC/EFTA</w:t>
            </w:r>
          </w:p>
        </w:tc>
        <w:tc>
          <w:tcPr>
            <w:tcW w:w="734" w:type="dxa"/>
            <w:tcBorders>
              <w:left w:val="single" w:sz="1" w:space="0" w:color="000000"/>
              <w:bottom w:val="single" w:sz="1" w:space="0" w:color="000000"/>
            </w:tcBorders>
            <w:shd w:val="clear" w:color="auto" w:fill="auto"/>
          </w:tcPr>
          <w:p w14:paraId="5346785D" w14:textId="77777777" w:rsidR="0073613B" w:rsidRDefault="0073613B" w:rsidP="00DD323B">
            <w:pPr>
              <w:pStyle w:val="Contenudetableau"/>
              <w:rPr>
                <w:rFonts w:ascii="Arial" w:hAnsi="Arial"/>
                <w:sz w:val="20"/>
                <w:szCs w:val="20"/>
              </w:rPr>
            </w:pPr>
            <w:r>
              <w:rPr>
                <w:rFonts w:ascii="Arial" w:hAnsi="Arial"/>
                <w:sz w:val="20"/>
                <w:szCs w:val="20"/>
              </w:rPr>
              <w:t>3</w:t>
            </w:r>
          </w:p>
        </w:tc>
        <w:tc>
          <w:tcPr>
            <w:tcW w:w="2260" w:type="dxa"/>
            <w:tcBorders>
              <w:left w:val="single" w:sz="1" w:space="0" w:color="000000"/>
              <w:bottom w:val="single" w:sz="1" w:space="0" w:color="000000"/>
              <w:right w:val="single" w:sz="1" w:space="0" w:color="000000"/>
            </w:tcBorders>
            <w:shd w:val="clear" w:color="auto" w:fill="auto"/>
          </w:tcPr>
          <w:p w14:paraId="51846E83" w14:textId="77777777" w:rsidR="0073613B" w:rsidRDefault="0073613B" w:rsidP="00DD323B">
            <w:pPr>
              <w:pStyle w:val="Contenudetableau"/>
              <w:snapToGrid w:val="0"/>
              <w:rPr>
                <w:rFonts w:ascii="Arial" w:hAnsi="Arial"/>
                <w:sz w:val="20"/>
                <w:szCs w:val="20"/>
              </w:rPr>
            </w:pPr>
          </w:p>
        </w:tc>
      </w:tr>
      <w:tr w:rsidR="0073613B" w14:paraId="4274BE4E" w14:textId="77777777" w:rsidTr="00B52A66">
        <w:trPr>
          <w:tblHeader/>
        </w:trPr>
        <w:tc>
          <w:tcPr>
            <w:tcW w:w="614" w:type="dxa"/>
            <w:tcBorders>
              <w:left w:val="single" w:sz="1" w:space="0" w:color="000000"/>
              <w:bottom w:val="single" w:sz="1" w:space="0" w:color="000000"/>
            </w:tcBorders>
            <w:shd w:val="clear" w:color="auto" w:fill="auto"/>
          </w:tcPr>
          <w:p w14:paraId="208778B2" w14:textId="77777777" w:rsidR="0073613B" w:rsidRDefault="0073613B" w:rsidP="00DD323B">
            <w:pPr>
              <w:pStyle w:val="Contenudetableau"/>
              <w:rPr>
                <w:rFonts w:ascii="Arial" w:eastAsia="ArialMT" w:hAnsi="Arial"/>
                <w:color w:val="000000"/>
                <w:sz w:val="20"/>
                <w:szCs w:val="20"/>
              </w:rPr>
            </w:pPr>
            <w:r>
              <w:rPr>
                <w:rFonts w:ascii="Arial" w:hAnsi="Arial"/>
                <w:sz w:val="20"/>
                <w:szCs w:val="20"/>
              </w:rPr>
              <w:t>14</w:t>
            </w:r>
          </w:p>
        </w:tc>
        <w:tc>
          <w:tcPr>
            <w:tcW w:w="2386" w:type="dxa"/>
            <w:tcBorders>
              <w:left w:val="single" w:sz="1" w:space="0" w:color="000000"/>
              <w:bottom w:val="single" w:sz="1" w:space="0" w:color="000000"/>
            </w:tcBorders>
            <w:shd w:val="clear" w:color="auto" w:fill="auto"/>
          </w:tcPr>
          <w:p w14:paraId="082E069B" w14:textId="77777777" w:rsidR="0073613B" w:rsidRDefault="0073613B" w:rsidP="00DD323B">
            <w:pPr>
              <w:tabs>
                <w:tab w:val="left" w:pos="20"/>
                <w:tab w:val="left" w:pos="360"/>
                <w:tab w:val="left" w:pos="380"/>
                <w:tab w:val="left" w:pos="567"/>
              </w:tabs>
              <w:spacing w:after="240" w:line="100" w:lineRule="atLeast"/>
              <w:ind w:left="360" w:hanging="360"/>
              <w:rPr>
                <w:rFonts w:eastAsia="ArialMT"/>
                <w:color w:val="000000"/>
              </w:rPr>
            </w:pPr>
            <w:r>
              <w:rPr>
                <w:rFonts w:eastAsia="ArialMT"/>
                <w:color w:val="000000"/>
              </w:rPr>
              <w:t>Project management and promotion</w:t>
            </w:r>
          </w:p>
        </w:tc>
        <w:tc>
          <w:tcPr>
            <w:tcW w:w="3669" w:type="dxa"/>
            <w:tcBorders>
              <w:left w:val="single" w:sz="1" w:space="0" w:color="000000"/>
              <w:bottom w:val="single" w:sz="1" w:space="0" w:color="000000"/>
            </w:tcBorders>
            <w:shd w:val="clear" w:color="auto" w:fill="auto"/>
          </w:tcPr>
          <w:p w14:paraId="68C015CA" w14:textId="77777777" w:rsidR="0073613B" w:rsidRDefault="0073613B" w:rsidP="00DD323B">
            <w:pPr>
              <w:tabs>
                <w:tab w:val="left" w:pos="20"/>
                <w:tab w:val="left" w:pos="360"/>
                <w:tab w:val="left" w:pos="380"/>
                <w:tab w:val="left" w:pos="567"/>
              </w:tabs>
              <w:spacing w:after="240" w:line="100" w:lineRule="atLeast"/>
              <w:ind w:left="90" w:right="300" w:hanging="15"/>
            </w:pPr>
            <w:r>
              <w:rPr>
                <w:rFonts w:eastAsia="ArialMT"/>
                <w:color w:val="000000"/>
              </w:rPr>
              <w:t>Includes also presenting the project to relevant general meetings and organisation of the Steering Group</w:t>
            </w:r>
          </w:p>
        </w:tc>
        <w:tc>
          <w:tcPr>
            <w:tcW w:w="734" w:type="dxa"/>
            <w:tcBorders>
              <w:left w:val="single" w:sz="1" w:space="0" w:color="000000"/>
              <w:bottom w:val="single" w:sz="1" w:space="0" w:color="000000"/>
            </w:tcBorders>
            <w:shd w:val="clear" w:color="auto" w:fill="auto"/>
          </w:tcPr>
          <w:p w14:paraId="2C10CA0A" w14:textId="77777777" w:rsidR="0073613B" w:rsidRDefault="0073613B" w:rsidP="00DD323B">
            <w:pPr>
              <w:pStyle w:val="Contenudetableau"/>
              <w:rPr>
                <w:rFonts w:ascii="Arial" w:hAnsi="Arial"/>
                <w:sz w:val="20"/>
                <w:szCs w:val="20"/>
              </w:rPr>
            </w:pPr>
            <w:r>
              <w:rPr>
                <w:rFonts w:ascii="Arial" w:hAnsi="Arial"/>
                <w:sz w:val="20"/>
                <w:szCs w:val="20"/>
              </w:rPr>
              <w:t>30</w:t>
            </w:r>
          </w:p>
        </w:tc>
        <w:tc>
          <w:tcPr>
            <w:tcW w:w="2260" w:type="dxa"/>
            <w:tcBorders>
              <w:left w:val="single" w:sz="1" w:space="0" w:color="000000"/>
              <w:bottom w:val="single" w:sz="1" w:space="0" w:color="000000"/>
              <w:right w:val="single" w:sz="1" w:space="0" w:color="000000"/>
            </w:tcBorders>
            <w:shd w:val="clear" w:color="auto" w:fill="auto"/>
          </w:tcPr>
          <w:p w14:paraId="1B23AB71" w14:textId="77777777" w:rsidR="0073613B" w:rsidRDefault="0073613B" w:rsidP="00DD323B">
            <w:pPr>
              <w:pStyle w:val="Contenudetableau"/>
            </w:pPr>
            <w:r>
              <w:rPr>
                <w:rFonts w:ascii="Arial" w:hAnsi="Arial"/>
                <w:sz w:val="20"/>
                <w:szCs w:val="20"/>
              </w:rPr>
              <w:t>Runs throughout the project. Travel required.</w:t>
            </w:r>
          </w:p>
        </w:tc>
      </w:tr>
    </w:tbl>
    <w:p w14:paraId="274B30C2" w14:textId="04090A0E" w:rsidR="0073613B" w:rsidRDefault="0073613B" w:rsidP="00DF4ACD">
      <w:pPr>
        <w:keepNext/>
        <w:keepLines/>
        <w:jc w:val="left"/>
        <w:rPr>
          <w:b/>
          <w:u w:val="single"/>
        </w:rPr>
      </w:pPr>
    </w:p>
    <w:p w14:paraId="69D37AB3" w14:textId="77777777" w:rsidR="0073613B" w:rsidRPr="00DF4ACD" w:rsidRDefault="0073613B" w:rsidP="00DF4ACD">
      <w:pPr>
        <w:keepNext/>
        <w:keepLines/>
        <w:jc w:val="left"/>
        <w:rPr>
          <w:b/>
          <w:u w:val="single"/>
        </w:rPr>
      </w:pPr>
    </w:p>
    <w:p w14:paraId="4F250DA9" w14:textId="77777777" w:rsidR="00E46006" w:rsidRDefault="00E46006" w:rsidP="00E46006">
      <w:pPr>
        <w:jc w:val="left"/>
        <w:sectPr w:rsidR="00E46006" w:rsidSect="00B52A66">
          <w:headerReference w:type="default" r:id="rId16"/>
          <w:type w:val="continuous"/>
          <w:pgSz w:w="11906" w:h="16838"/>
          <w:pgMar w:top="1417" w:right="1417" w:bottom="1417" w:left="1417" w:header="708" w:footer="590" w:gutter="0"/>
          <w:cols w:space="708"/>
          <w:titlePg/>
          <w:docGrid w:linePitch="360"/>
        </w:sectPr>
      </w:pPr>
    </w:p>
    <w:p w14:paraId="5B89F36B" w14:textId="77777777" w:rsidR="00E46006" w:rsidRDefault="00E46006" w:rsidP="00E46006">
      <w:pPr>
        <w:jc w:val="left"/>
      </w:pPr>
    </w:p>
    <w:p w14:paraId="667DD913" w14:textId="705014D2" w:rsidR="00E46006" w:rsidRDefault="00E46006" w:rsidP="00E46006">
      <w:pPr>
        <w:spacing w:before="240"/>
        <w:rPr>
          <w:b/>
          <w:sz w:val="28"/>
          <w:u w:val="single"/>
        </w:rPr>
      </w:pPr>
      <w:r w:rsidRPr="00795A5C">
        <w:rPr>
          <w:b/>
          <w:sz w:val="28"/>
          <w:u w:val="single"/>
        </w:rPr>
        <w:t>Part III:</w:t>
      </w:r>
      <w:r w:rsidRPr="00795A5C">
        <w:rPr>
          <w:b/>
          <w:sz w:val="28"/>
          <w:u w:val="single"/>
        </w:rPr>
        <w:tab/>
        <w:t>Financial part</w:t>
      </w:r>
    </w:p>
    <w:p w14:paraId="4B3BA9C2" w14:textId="77777777" w:rsidR="008207D1" w:rsidRPr="008207D1" w:rsidRDefault="008207D1" w:rsidP="00E46006">
      <w:pPr>
        <w:spacing w:before="240"/>
        <w:rPr>
          <w:b/>
          <w:sz w:val="24"/>
          <w:szCs w:val="24"/>
          <w:u w:val="single"/>
        </w:rPr>
      </w:pPr>
    </w:p>
    <w:p w14:paraId="04FDA87D" w14:textId="77777777" w:rsidR="00E46006" w:rsidRDefault="00E46006" w:rsidP="001F6288">
      <w:pPr>
        <w:pStyle w:val="Heading1"/>
        <w:keepLines w:val="0"/>
        <w:numPr>
          <w:ilvl w:val="0"/>
          <w:numId w:val="8"/>
        </w:numPr>
        <w:tabs>
          <w:tab w:val="clear" w:pos="1418"/>
        </w:tabs>
        <w:overflowPunct/>
        <w:autoSpaceDE/>
        <w:autoSpaceDN/>
        <w:adjustRightInd/>
        <w:textAlignment w:val="auto"/>
      </w:pPr>
      <w:r w:rsidRPr="00795A5C">
        <w:t>Financial provisions in the EC/EFTA contract</w:t>
      </w:r>
    </w:p>
    <w:p w14:paraId="12357D2F"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Total action costs</w:t>
      </w:r>
    </w:p>
    <w:p w14:paraId="660C29DD" w14:textId="1F3E5E61" w:rsidR="00B03FE3" w:rsidRDefault="00995679" w:rsidP="00B03FE3">
      <w:r>
        <w:t>180</w:t>
      </w:r>
      <w:r w:rsidR="00B03FE3">
        <w:t xml:space="preserve"> units are envisaged to be necessary to carry out the proposed activities, totalling </w:t>
      </w:r>
      <w:r w:rsidR="00B03FE3" w:rsidRPr="00B03FE3">
        <w:rPr>
          <w:b/>
        </w:rPr>
        <w:t>145.291,80 €</w:t>
      </w:r>
      <w:r w:rsidR="00B03FE3">
        <w:t xml:space="preserve"> (lump sum plus 30 000 € sub-contracting cost).</w:t>
      </w:r>
    </w:p>
    <w:p w14:paraId="252B5671" w14:textId="77777777" w:rsidR="00B03FE3" w:rsidRDefault="00B03FE3" w:rsidP="00B03FE3"/>
    <w:p w14:paraId="03E029EF" w14:textId="207A84ED" w:rsidR="00B03FE3" w:rsidRDefault="00B03FE3" w:rsidP="00B03FE3">
      <w:pPr>
        <w:rPr>
          <w:b/>
        </w:rPr>
      </w:pPr>
      <w:r>
        <w:t>Note:  The ETSI unit cost is 640</w:t>
      </w:r>
      <w:proofErr w:type="gramStart"/>
      <w:r>
        <w:t>,51</w:t>
      </w:r>
      <w:proofErr w:type="gramEnd"/>
      <w:r>
        <w:t xml:space="preserve">€ – </w:t>
      </w:r>
      <w:r w:rsidR="00995679">
        <w:t>180</w:t>
      </w:r>
      <w:r>
        <w:t xml:space="preserve"> units x 640,51 = </w:t>
      </w:r>
      <w:r w:rsidRPr="00B03FE3">
        <w:rPr>
          <w:b/>
        </w:rPr>
        <w:t>115 291,8</w:t>
      </w:r>
      <w:r>
        <w:rPr>
          <w:b/>
        </w:rPr>
        <w:t>0</w:t>
      </w:r>
      <w:r w:rsidRPr="00B03FE3">
        <w:rPr>
          <w:b/>
        </w:rPr>
        <w:t xml:space="preserve"> €</w:t>
      </w:r>
    </w:p>
    <w:p w14:paraId="04D8DD8F" w14:textId="77777777" w:rsidR="00B03FE3" w:rsidRDefault="00B03FE3" w:rsidP="00B03FE3"/>
    <w:p w14:paraId="4C271594" w14:textId="7A16C2C1" w:rsidR="0073613B" w:rsidRPr="00DD323B" w:rsidRDefault="0073613B" w:rsidP="001F6288">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Manpower budget</w:t>
      </w:r>
      <w:r w:rsidRPr="00DD323B">
        <w:rPr>
          <w:rFonts w:ascii="Arial" w:hAnsi="Arial" w:cs="Arial"/>
          <w:sz w:val="20"/>
        </w:rPr>
        <w:t xml:space="preserve">: </w:t>
      </w:r>
      <w:r w:rsidR="00DD323B" w:rsidRPr="00DD323B">
        <w:rPr>
          <w:rFonts w:ascii="Arial" w:hAnsi="Arial" w:cs="Arial"/>
          <w:sz w:val="20"/>
        </w:rPr>
        <w:t>92 8</w:t>
      </w:r>
      <w:r w:rsidRPr="00DD323B">
        <w:rPr>
          <w:rFonts w:ascii="Arial" w:hAnsi="Arial" w:cs="Arial"/>
          <w:sz w:val="20"/>
        </w:rPr>
        <w:t>91,80 €</w:t>
      </w:r>
    </w:p>
    <w:p w14:paraId="1273ADA1" w14:textId="767AA014" w:rsidR="0073613B" w:rsidRDefault="0073613B" w:rsidP="001F6288">
      <w:pPr>
        <w:pStyle w:val="ListParagraph"/>
        <w:numPr>
          <w:ilvl w:val="0"/>
          <w:numId w:val="12"/>
        </w:numPr>
        <w:tabs>
          <w:tab w:val="left" w:pos="3435"/>
          <w:tab w:val="left" w:pos="4995"/>
        </w:tabs>
        <w:rPr>
          <w:rFonts w:ascii="Arial" w:hAnsi="Arial" w:cs="Arial"/>
          <w:sz w:val="20"/>
        </w:rPr>
      </w:pPr>
      <w:r w:rsidRPr="00DE23ED">
        <w:rPr>
          <w:rFonts w:ascii="Arial" w:hAnsi="Arial" w:cs="Arial"/>
          <w:sz w:val="20"/>
        </w:rPr>
        <w:t xml:space="preserve">Travel budget: </w:t>
      </w:r>
      <w:r w:rsidR="00DD323B">
        <w:rPr>
          <w:rFonts w:ascii="Arial" w:hAnsi="Arial" w:cs="Arial"/>
          <w:sz w:val="20"/>
        </w:rPr>
        <w:t xml:space="preserve">       22 400,00</w:t>
      </w:r>
      <w:r w:rsidRPr="00DE23ED">
        <w:rPr>
          <w:rFonts w:ascii="Arial" w:hAnsi="Arial" w:cs="Arial"/>
          <w:sz w:val="20"/>
        </w:rPr>
        <w:t>€</w:t>
      </w:r>
    </w:p>
    <w:p w14:paraId="50351B2B" w14:textId="77777777" w:rsidR="0073613B" w:rsidRPr="0073613B" w:rsidRDefault="0073613B" w:rsidP="001F6288">
      <w:pPr>
        <w:pStyle w:val="ListParagraph"/>
        <w:numPr>
          <w:ilvl w:val="0"/>
          <w:numId w:val="12"/>
        </w:numPr>
        <w:tabs>
          <w:tab w:val="left" w:pos="3435"/>
          <w:tab w:val="left" w:pos="4995"/>
        </w:tabs>
        <w:rPr>
          <w:rFonts w:ascii="Arial" w:hAnsi="Arial" w:cs="Arial"/>
          <w:sz w:val="20"/>
        </w:rPr>
      </w:pPr>
      <w:r w:rsidRPr="0073613B">
        <w:rPr>
          <w:rFonts w:ascii="Arial" w:hAnsi="Arial" w:cs="Arial"/>
          <w:sz w:val="20"/>
        </w:rPr>
        <w:t>Subcontracting to external organisations (“Open Meeting”): 30 000€</w:t>
      </w:r>
    </w:p>
    <w:p w14:paraId="14EE6447" w14:textId="77777777" w:rsidR="0073613B" w:rsidRPr="00DE23ED" w:rsidRDefault="0073613B" w:rsidP="0073613B">
      <w:pPr>
        <w:pStyle w:val="ListParagraph"/>
        <w:tabs>
          <w:tab w:val="left" w:pos="3435"/>
          <w:tab w:val="left" w:pos="4995"/>
        </w:tabs>
        <w:rPr>
          <w:rFonts w:ascii="Arial" w:hAnsi="Arial" w:cs="Arial"/>
          <w:sz w:val="20"/>
        </w:rPr>
      </w:pPr>
    </w:p>
    <w:p w14:paraId="04AAB5C5" w14:textId="77777777" w:rsidR="0073613B" w:rsidRPr="0067209B" w:rsidRDefault="0073613B" w:rsidP="00B03FE3"/>
    <w:p w14:paraId="6C0C3AEB"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Direct (eligible) costs</w:t>
      </w:r>
    </w:p>
    <w:p w14:paraId="2C3D3711" w14:textId="6960EAD8" w:rsidR="00E46006" w:rsidRDefault="00E46006" w:rsidP="00E46006">
      <w:r w:rsidRPr="0067209B">
        <w:t>N/A</w:t>
      </w:r>
    </w:p>
    <w:p w14:paraId="461E5A87" w14:textId="77777777" w:rsidR="008207D1" w:rsidRPr="0067209B" w:rsidRDefault="008207D1" w:rsidP="00E46006"/>
    <w:p w14:paraId="43765E05"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Travelling costs</w:t>
      </w:r>
    </w:p>
    <w:p w14:paraId="5C932F6D" w14:textId="6CB4B56D" w:rsidR="008207D1" w:rsidRDefault="00B03FE3" w:rsidP="00E46006">
      <w:r w:rsidRPr="00B03FE3">
        <w:t>STF travel will be needed to attend meetings of the SSCC-SF, MSP, EIP, plus in addition to other events, conferences etc., where promotion of the activity and/or securing of feedback is desirable.  In addition, as well as probably three STF physical meetings in Sophia there will be a need for some attendance at ETSI TC HF meetings.</w:t>
      </w:r>
    </w:p>
    <w:p w14:paraId="152A4718" w14:textId="77777777" w:rsidR="00B52A66" w:rsidRDefault="00B52A66" w:rsidP="00E46006">
      <w:pPr>
        <w:rPr>
          <w:b/>
        </w:rPr>
      </w:pPr>
    </w:p>
    <w:p w14:paraId="6BA0FA7A" w14:textId="3DD3FF54" w:rsidR="00DD323B" w:rsidRDefault="00DD323B" w:rsidP="00E46006">
      <w:pPr>
        <w:rPr>
          <w:b/>
        </w:rPr>
      </w:pPr>
      <w:r w:rsidRPr="00DD323B">
        <w:rPr>
          <w:b/>
        </w:rPr>
        <w:t>Possible list of travels</w:t>
      </w:r>
    </w:p>
    <w:p w14:paraId="08F70127" w14:textId="77777777" w:rsidR="00B52A66" w:rsidRDefault="00B52A66" w:rsidP="00E46006">
      <w:pPr>
        <w:rPr>
          <w:b/>
        </w:rPr>
      </w:pPr>
    </w:p>
    <w:tbl>
      <w:tblPr>
        <w:tblW w:w="9214" w:type="dxa"/>
        <w:jc w:val="center"/>
        <w:tblLayout w:type="fixed"/>
        <w:tblLook w:val="04A0" w:firstRow="1" w:lastRow="0" w:firstColumn="1" w:lastColumn="0" w:noHBand="0" w:noVBand="1"/>
      </w:tblPr>
      <w:tblGrid>
        <w:gridCol w:w="1328"/>
        <w:gridCol w:w="1410"/>
        <w:gridCol w:w="1285"/>
        <w:gridCol w:w="1028"/>
        <w:gridCol w:w="1261"/>
        <w:gridCol w:w="1343"/>
        <w:gridCol w:w="1559"/>
      </w:tblGrid>
      <w:tr w:rsidR="00B52A66" w:rsidRPr="00B52A66" w14:paraId="2C4547D0" w14:textId="77777777" w:rsidTr="00B52A66">
        <w:trPr>
          <w:trHeight w:val="540"/>
          <w:tblHeader/>
          <w:jc w:val="center"/>
        </w:trPr>
        <w:tc>
          <w:tcPr>
            <w:tcW w:w="1328" w:type="dxa"/>
            <w:tcBorders>
              <w:top w:val="single" w:sz="4" w:space="0" w:color="000000"/>
              <w:left w:val="single" w:sz="4" w:space="0" w:color="000000"/>
              <w:bottom w:val="single" w:sz="4" w:space="0" w:color="000000"/>
              <w:right w:val="single" w:sz="4" w:space="0" w:color="000000"/>
            </w:tcBorders>
            <w:shd w:val="clear" w:color="auto" w:fill="5B9BD5" w:themeFill="accent1"/>
            <w:noWrap/>
            <w:vAlign w:val="center"/>
            <w:hideMark/>
          </w:tcPr>
          <w:p w14:paraId="7C652C99"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lastRenderedPageBreak/>
              <w:t>Name</w:t>
            </w:r>
          </w:p>
        </w:tc>
        <w:tc>
          <w:tcPr>
            <w:tcW w:w="1410"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506CE25E"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Date</w:t>
            </w:r>
          </w:p>
        </w:tc>
        <w:tc>
          <w:tcPr>
            <w:tcW w:w="1285"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7C35027E"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Place</w:t>
            </w:r>
          </w:p>
        </w:tc>
        <w:tc>
          <w:tcPr>
            <w:tcW w:w="1028"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18AD8D84"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 Meetings</w:t>
            </w:r>
          </w:p>
        </w:tc>
        <w:tc>
          <w:tcPr>
            <w:tcW w:w="1261"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551AD09A" w14:textId="5A91157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 Participants</w:t>
            </w:r>
          </w:p>
        </w:tc>
        <w:tc>
          <w:tcPr>
            <w:tcW w:w="1343"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00C18103"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Estimated budget</w:t>
            </w:r>
          </w:p>
        </w:tc>
        <w:tc>
          <w:tcPr>
            <w:tcW w:w="1559"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1A7EF422"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Comments</w:t>
            </w:r>
          </w:p>
        </w:tc>
      </w:tr>
      <w:tr w:rsidR="00B52A66" w:rsidRPr="00DD323B" w14:paraId="7BBF739E" w14:textId="77777777" w:rsidTr="00B52A66">
        <w:trPr>
          <w:trHeight w:val="885"/>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44D5D719" w14:textId="77777777" w:rsidR="00B52A66" w:rsidRPr="00B52A66" w:rsidRDefault="00B52A66" w:rsidP="00DD323B">
            <w:pPr>
              <w:tabs>
                <w:tab w:val="clear" w:pos="1418"/>
                <w:tab w:val="clear" w:pos="4678"/>
                <w:tab w:val="clear" w:pos="5954"/>
                <w:tab w:val="clear" w:pos="7088"/>
              </w:tabs>
              <w:overflowPunct/>
              <w:autoSpaceDE/>
              <w:autoSpaceDN/>
              <w:adjustRightInd/>
              <w:jc w:val="center"/>
              <w:textAlignment w:val="auto"/>
            </w:pPr>
            <w:r w:rsidRPr="00B52A66">
              <w:t>Project Open Meeting</w:t>
            </w:r>
          </w:p>
        </w:tc>
        <w:tc>
          <w:tcPr>
            <w:tcW w:w="1410" w:type="dxa"/>
            <w:tcBorders>
              <w:top w:val="nil"/>
              <w:left w:val="nil"/>
              <w:bottom w:val="single" w:sz="4" w:space="0" w:color="000000"/>
              <w:right w:val="single" w:sz="4" w:space="0" w:color="000000"/>
            </w:tcBorders>
            <w:shd w:val="clear" w:color="auto" w:fill="auto"/>
            <w:noWrap/>
            <w:vAlign w:val="center"/>
            <w:hideMark/>
          </w:tcPr>
          <w:p w14:paraId="5AA9B0FF" w14:textId="77777777" w:rsidR="00B52A66" w:rsidRPr="00B52A66" w:rsidRDefault="00B52A66" w:rsidP="00DD323B">
            <w:pPr>
              <w:tabs>
                <w:tab w:val="clear" w:pos="1418"/>
                <w:tab w:val="clear" w:pos="4678"/>
                <w:tab w:val="clear" w:pos="5954"/>
                <w:tab w:val="clear" w:pos="7088"/>
              </w:tabs>
              <w:overflowPunct/>
              <w:autoSpaceDE/>
              <w:autoSpaceDN/>
              <w:adjustRightInd/>
              <w:jc w:val="center"/>
              <w:textAlignment w:val="auto"/>
            </w:pPr>
            <w:r w:rsidRPr="00B52A66">
              <w:t>Dec-2019</w:t>
            </w:r>
          </w:p>
        </w:tc>
        <w:tc>
          <w:tcPr>
            <w:tcW w:w="1285" w:type="dxa"/>
            <w:tcBorders>
              <w:top w:val="nil"/>
              <w:left w:val="nil"/>
              <w:bottom w:val="single" w:sz="4" w:space="0" w:color="000000"/>
              <w:right w:val="single" w:sz="4" w:space="0" w:color="000000"/>
            </w:tcBorders>
            <w:shd w:val="clear" w:color="auto" w:fill="auto"/>
            <w:vAlign w:val="center"/>
            <w:hideMark/>
          </w:tcPr>
          <w:p w14:paraId="3AF81B73" w14:textId="77777777" w:rsidR="00B52A66" w:rsidRPr="00B52A66" w:rsidRDefault="00B52A66" w:rsidP="00DD323B">
            <w:pPr>
              <w:tabs>
                <w:tab w:val="clear" w:pos="1418"/>
                <w:tab w:val="clear" w:pos="4678"/>
                <w:tab w:val="clear" w:pos="5954"/>
                <w:tab w:val="clear" w:pos="7088"/>
              </w:tabs>
              <w:overflowPunct/>
              <w:autoSpaceDE/>
              <w:autoSpaceDN/>
              <w:adjustRightInd/>
              <w:jc w:val="left"/>
              <w:textAlignment w:val="auto"/>
            </w:pPr>
            <w:r w:rsidRPr="00B52A66">
              <w:t>Brussels or Sophia</w:t>
            </w:r>
          </w:p>
        </w:tc>
        <w:tc>
          <w:tcPr>
            <w:tcW w:w="1028" w:type="dxa"/>
            <w:tcBorders>
              <w:top w:val="nil"/>
              <w:left w:val="nil"/>
              <w:bottom w:val="single" w:sz="4" w:space="0" w:color="000000"/>
              <w:right w:val="single" w:sz="4" w:space="0" w:color="000000"/>
            </w:tcBorders>
            <w:shd w:val="clear" w:color="auto" w:fill="auto"/>
            <w:noWrap/>
            <w:vAlign w:val="center"/>
            <w:hideMark/>
          </w:tcPr>
          <w:p w14:paraId="5B41EB6F" w14:textId="77777777" w:rsidR="00B52A66" w:rsidRPr="00B52A66" w:rsidRDefault="00B52A66" w:rsidP="00DD323B">
            <w:pPr>
              <w:tabs>
                <w:tab w:val="clear" w:pos="1418"/>
                <w:tab w:val="clear" w:pos="4678"/>
                <w:tab w:val="clear" w:pos="5954"/>
                <w:tab w:val="clear" w:pos="7088"/>
              </w:tabs>
              <w:overflowPunct/>
              <w:autoSpaceDE/>
              <w:autoSpaceDN/>
              <w:adjustRightInd/>
              <w:jc w:val="center"/>
              <w:textAlignment w:val="auto"/>
            </w:pPr>
            <w:r w:rsidRPr="00B52A66">
              <w:t>1</w:t>
            </w:r>
          </w:p>
        </w:tc>
        <w:tc>
          <w:tcPr>
            <w:tcW w:w="1261" w:type="dxa"/>
            <w:tcBorders>
              <w:top w:val="nil"/>
              <w:left w:val="nil"/>
              <w:bottom w:val="single" w:sz="4" w:space="0" w:color="000000"/>
              <w:right w:val="single" w:sz="4" w:space="0" w:color="000000"/>
            </w:tcBorders>
            <w:shd w:val="clear" w:color="auto" w:fill="auto"/>
            <w:noWrap/>
            <w:vAlign w:val="center"/>
            <w:hideMark/>
          </w:tcPr>
          <w:p w14:paraId="0AF1E74E" w14:textId="77777777" w:rsidR="00B52A66" w:rsidRPr="00B52A66" w:rsidRDefault="00B52A66" w:rsidP="00DD323B">
            <w:pPr>
              <w:tabs>
                <w:tab w:val="clear" w:pos="1418"/>
                <w:tab w:val="clear" w:pos="4678"/>
                <w:tab w:val="clear" w:pos="5954"/>
                <w:tab w:val="clear" w:pos="7088"/>
              </w:tabs>
              <w:overflowPunct/>
              <w:autoSpaceDE/>
              <w:autoSpaceDN/>
              <w:adjustRightInd/>
              <w:jc w:val="center"/>
              <w:textAlignment w:val="auto"/>
            </w:pPr>
            <w:r w:rsidRPr="00B52A66">
              <w:t>4</w:t>
            </w:r>
          </w:p>
        </w:tc>
        <w:tc>
          <w:tcPr>
            <w:tcW w:w="1343" w:type="dxa"/>
            <w:tcBorders>
              <w:top w:val="nil"/>
              <w:left w:val="nil"/>
              <w:bottom w:val="single" w:sz="4" w:space="0" w:color="000000"/>
              <w:right w:val="nil"/>
            </w:tcBorders>
            <w:shd w:val="clear" w:color="auto" w:fill="auto"/>
            <w:noWrap/>
            <w:vAlign w:val="center"/>
            <w:hideMark/>
          </w:tcPr>
          <w:p w14:paraId="7D4356FA" w14:textId="45D1936D" w:rsidR="00B52A66" w:rsidRPr="00B52A66" w:rsidRDefault="00B52A66" w:rsidP="00DD323B">
            <w:pPr>
              <w:tabs>
                <w:tab w:val="clear" w:pos="1418"/>
                <w:tab w:val="clear" w:pos="4678"/>
                <w:tab w:val="clear" w:pos="5954"/>
                <w:tab w:val="clear" w:pos="7088"/>
              </w:tabs>
              <w:overflowPunct/>
              <w:autoSpaceDE/>
              <w:autoSpaceDN/>
              <w:adjustRightInd/>
              <w:jc w:val="left"/>
              <w:textAlignment w:val="auto"/>
            </w:pPr>
            <w:r w:rsidRPr="00B52A66">
              <w:t xml:space="preserve">3 200,00€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1B6CA524" w14:textId="3C2F836B"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r>
      <w:tr w:rsidR="00B52A66" w:rsidRPr="00DD323B" w14:paraId="60B16843" w14:textId="77777777" w:rsidTr="00B52A66">
        <w:trPr>
          <w:trHeight w:val="870"/>
          <w:tblHeader/>
          <w:jc w:val="center"/>
        </w:trPr>
        <w:tc>
          <w:tcPr>
            <w:tcW w:w="1328" w:type="dxa"/>
            <w:tcBorders>
              <w:top w:val="nil"/>
              <w:left w:val="single" w:sz="4" w:space="0" w:color="000000"/>
              <w:bottom w:val="single" w:sz="4" w:space="0" w:color="000000"/>
              <w:right w:val="single" w:sz="4" w:space="0" w:color="000000"/>
            </w:tcBorders>
            <w:shd w:val="clear" w:color="auto" w:fill="auto"/>
            <w:vAlign w:val="center"/>
            <w:hideMark/>
          </w:tcPr>
          <w:p w14:paraId="7AC378A5"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Meetings of CEN-CENELEC-ETSI SSCC-SF and new TC</w:t>
            </w:r>
          </w:p>
        </w:tc>
        <w:tc>
          <w:tcPr>
            <w:tcW w:w="1410" w:type="dxa"/>
            <w:tcBorders>
              <w:top w:val="nil"/>
              <w:left w:val="nil"/>
              <w:bottom w:val="single" w:sz="4" w:space="0" w:color="000000"/>
              <w:right w:val="single" w:sz="4" w:space="0" w:color="000000"/>
            </w:tcBorders>
            <w:shd w:val="clear" w:color="auto" w:fill="auto"/>
            <w:noWrap/>
            <w:vAlign w:val="center"/>
            <w:hideMark/>
          </w:tcPr>
          <w:p w14:paraId="37F842B6" w14:textId="033FBBE5"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vAlign w:val="center"/>
            <w:hideMark/>
          </w:tcPr>
          <w:p w14:paraId="4A2401D4"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Brussels or sometimes elsewhere</w:t>
            </w:r>
          </w:p>
        </w:tc>
        <w:tc>
          <w:tcPr>
            <w:tcW w:w="1028" w:type="dxa"/>
            <w:tcBorders>
              <w:top w:val="nil"/>
              <w:left w:val="nil"/>
              <w:bottom w:val="single" w:sz="4" w:space="0" w:color="000000"/>
              <w:right w:val="single" w:sz="4" w:space="0" w:color="000000"/>
            </w:tcBorders>
            <w:shd w:val="clear" w:color="auto" w:fill="auto"/>
            <w:noWrap/>
            <w:vAlign w:val="center"/>
            <w:hideMark/>
          </w:tcPr>
          <w:p w14:paraId="62670751"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4</w:t>
            </w:r>
          </w:p>
        </w:tc>
        <w:tc>
          <w:tcPr>
            <w:tcW w:w="1261" w:type="dxa"/>
            <w:tcBorders>
              <w:top w:val="nil"/>
              <w:left w:val="nil"/>
              <w:bottom w:val="single" w:sz="4" w:space="0" w:color="000000"/>
              <w:right w:val="single" w:sz="4" w:space="0" w:color="000000"/>
            </w:tcBorders>
            <w:shd w:val="clear" w:color="auto" w:fill="auto"/>
            <w:noWrap/>
            <w:vAlign w:val="center"/>
            <w:hideMark/>
          </w:tcPr>
          <w:p w14:paraId="25909E72"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381B4418" w14:textId="3F17EAD3"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3 200,00€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9102DE8" w14:textId="05D17D89"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r>
      <w:tr w:rsidR="00B52A66" w:rsidRPr="00DD323B" w14:paraId="2D43F17E" w14:textId="77777777" w:rsidTr="00B52A66">
        <w:trPr>
          <w:trHeight w:val="57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10F9C49C"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Meetings of ETSI HF</w:t>
            </w:r>
          </w:p>
        </w:tc>
        <w:tc>
          <w:tcPr>
            <w:tcW w:w="1410" w:type="dxa"/>
            <w:tcBorders>
              <w:top w:val="nil"/>
              <w:left w:val="nil"/>
              <w:bottom w:val="single" w:sz="4" w:space="0" w:color="000000"/>
              <w:right w:val="single" w:sz="4" w:space="0" w:color="000000"/>
            </w:tcBorders>
            <w:shd w:val="clear" w:color="auto" w:fill="auto"/>
            <w:noWrap/>
            <w:vAlign w:val="center"/>
            <w:hideMark/>
          </w:tcPr>
          <w:p w14:paraId="58F84839" w14:textId="1398880F"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vAlign w:val="center"/>
            <w:hideMark/>
          </w:tcPr>
          <w:p w14:paraId="47F78B59"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Sophia or elsewhere alternate</w:t>
            </w:r>
          </w:p>
        </w:tc>
        <w:tc>
          <w:tcPr>
            <w:tcW w:w="1028" w:type="dxa"/>
            <w:tcBorders>
              <w:top w:val="nil"/>
              <w:left w:val="nil"/>
              <w:bottom w:val="single" w:sz="4" w:space="0" w:color="000000"/>
              <w:right w:val="single" w:sz="4" w:space="0" w:color="000000"/>
            </w:tcBorders>
            <w:shd w:val="clear" w:color="auto" w:fill="auto"/>
            <w:noWrap/>
            <w:vAlign w:val="center"/>
            <w:hideMark/>
          </w:tcPr>
          <w:p w14:paraId="7EA9AA99"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4</w:t>
            </w:r>
          </w:p>
        </w:tc>
        <w:tc>
          <w:tcPr>
            <w:tcW w:w="1261" w:type="dxa"/>
            <w:tcBorders>
              <w:top w:val="nil"/>
              <w:left w:val="nil"/>
              <w:bottom w:val="single" w:sz="4" w:space="0" w:color="000000"/>
              <w:right w:val="single" w:sz="4" w:space="0" w:color="000000"/>
            </w:tcBorders>
            <w:shd w:val="clear" w:color="auto" w:fill="auto"/>
            <w:noWrap/>
            <w:vAlign w:val="center"/>
            <w:hideMark/>
          </w:tcPr>
          <w:p w14:paraId="4E02A48B"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566F572A" w14:textId="5DA8650A"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3 200,00€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86FCAF7" w14:textId="2039165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r>
      <w:tr w:rsidR="00B52A66" w:rsidRPr="00DD323B" w14:paraId="0A33D85F" w14:textId="77777777" w:rsidTr="00B52A66">
        <w:trPr>
          <w:trHeight w:val="30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22942E9D"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Meetings of MSP</w:t>
            </w:r>
          </w:p>
        </w:tc>
        <w:tc>
          <w:tcPr>
            <w:tcW w:w="1410" w:type="dxa"/>
            <w:tcBorders>
              <w:top w:val="nil"/>
              <w:left w:val="nil"/>
              <w:bottom w:val="single" w:sz="4" w:space="0" w:color="000000"/>
              <w:right w:val="single" w:sz="4" w:space="0" w:color="000000"/>
            </w:tcBorders>
            <w:shd w:val="clear" w:color="auto" w:fill="auto"/>
            <w:noWrap/>
            <w:vAlign w:val="center"/>
            <w:hideMark/>
          </w:tcPr>
          <w:p w14:paraId="29CD0D96" w14:textId="4919C132"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3A8EF115" w14:textId="7C157599"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Brussels</w:t>
            </w:r>
          </w:p>
        </w:tc>
        <w:tc>
          <w:tcPr>
            <w:tcW w:w="1028" w:type="dxa"/>
            <w:tcBorders>
              <w:top w:val="nil"/>
              <w:left w:val="nil"/>
              <w:bottom w:val="single" w:sz="4" w:space="0" w:color="000000"/>
              <w:right w:val="single" w:sz="4" w:space="0" w:color="000000"/>
            </w:tcBorders>
            <w:shd w:val="clear" w:color="auto" w:fill="auto"/>
            <w:noWrap/>
            <w:vAlign w:val="center"/>
            <w:hideMark/>
          </w:tcPr>
          <w:p w14:paraId="18C3984F"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2</w:t>
            </w:r>
          </w:p>
        </w:tc>
        <w:tc>
          <w:tcPr>
            <w:tcW w:w="1261" w:type="dxa"/>
            <w:tcBorders>
              <w:top w:val="nil"/>
              <w:left w:val="nil"/>
              <w:bottom w:val="single" w:sz="4" w:space="0" w:color="000000"/>
              <w:right w:val="single" w:sz="4" w:space="0" w:color="000000"/>
            </w:tcBorders>
            <w:shd w:val="clear" w:color="auto" w:fill="auto"/>
            <w:noWrap/>
            <w:vAlign w:val="center"/>
            <w:hideMark/>
          </w:tcPr>
          <w:p w14:paraId="22B6D4D6"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5B0FC9D1" w14:textId="5E4D780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1 600,00€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7BE39FC" w14:textId="5D0176EF"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r>
      <w:tr w:rsidR="00B52A66" w:rsidRPr="00DD323B" w14:paraId="4DD74991" w14:textId="77777777" w:rsidTr="00B52A66">
        <w:trPr>
          <w:trHeight w:val="30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0200751B"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Meetings of AIOTI</w:t>
            </w:r>
          </w:p>
        </w:tc>
        <w:tc>
          <w:tcPr>
            <w:tcW w:w="1410" w:type="dxa"/>
            <w:tcBorders>
              <w:top w:val="nil"/>
              <w:left w:val="nil"/>
              <w:bottom w:val="single" w:sz="4" w:space="0" w:color="000000"/>
              <w:right w:val="single" w:sz="4" w:space="0" w:color="000000"/>
            </w:tcBorders>
            <w:shd w:val="clear" w:color="auto" w:fill="auto"/>
            <w:noWrap/>
            <w:vAlign w:val="center"/>
            <w:hideMark/>
          </w:tcPr>
          <w:p w14:paraId="66992FF3" w14:textId="1C3C8DFC"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1DD15E64"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Anywhere</w:t>
            </w:r>
          </w:p>
        </w:tc>
        <w:tc>
          <w:tcPr>
            <w:tcW w:w="1028" w:type="dxa"/>
            <w:tcBorders>
              <w:top w:val="nil"/>
              <w:left w:val="nil"/>
              <w:bottom w:val="single" w:sz="4" w:space="0" w:color="000000"/>
              <w:right w:val="single" w:sz="4" w:space="0" w:color="000000"/>
            </w:tcBorders>
            <w:shd w:val="clear" w:color="auto" w:fill="auto"/>
            <w:noWrap/>
            <w:vAlign w:val="center"/>
            <w:hideMark/>
          </w:tcPr>
          <w:p w14:paraId="041ED608"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2</w:t>
            </w:r>
          </w:p>
        </w:tc>
        <w:tc>
          <w:tcPr>
            <w:tcW w:w="1261" w:type="dxa"/>
            <w:tcBorders>
              <w:top w:val="nil"/>
              <w:left w:val="nil"/>
              <w:bottom w:val="single" w:sz="4" w:space="0" w:color="000000"/>
              <w:right w:val="single" w:sz="4" w:space="0" w:color="000000"/>
            </w:tcBorders>
            <w:shd w:val="clear" w:color="auto" w:fill="auto"/>
            <w:noWrap/>
            <w:vAlign w:val="center"/>
            <w:hideMark/>
          </w:tcPr>
          <w:p w14:paraId="2E05B11F"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2B68BF4A" w14:textId="5A1FCA3F"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1 600,00€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C7F493B"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 xml:space="preserve">GA or </w:t>
            </w:r>
            <w:proofErr w:type="spellStart"/>
            <w:r w:rsidRPr="00B52A66">
              <w:t>IoT</w:t>
            </w:r>
            <w:proofErr w:type="spellEnd"/>
            <w:r w:rsidRPr="00B52A66">
              <w:t xml:space="preserve"> week or other</w:t>
            </w:r>
          </w:p>
        </w:tc>
      </w:tr>
      <w:tr w:rsidR="00B52A66" w:rsidRPr="00DD323B" w14:paraId="12F5237B" w14:textId="77777777" w:rsidTr="00B52A66">
        <w:trPr>
          <w:trHeight w:val="30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572E23DB"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Meetings of EIP-SCC</w:t>
            </w:r>
          </w:p>
        </w:tc>
        <w:tc>
          <w:tcPr>
            <w:tcW w:w="1410" w:type="dxa"/>
            <w:tcBorders>
              <w:top w:val="nil"/>
              <w:left w:val="nil"/>
              <w:bottom w:val="single" w:sz="4" w:space="0" w:color="000000"/>
              <w:right w:val="single" w:sz="4" w:space="0" w:color="000000"/>
            </w:tcBorders>
            <w:shd w:val="clear" w:color="auto" w:fill="auto"/>
            <w:noWrap/>
            <w:vAlign w:val="center"/>
            <w:hideMark/>
          </w:tcPr>
          <w:p w14:paraId="20225CC8" w14:textId="109EBA9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614E1E6D"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Anywhere</w:t>
            </w:r>
          </w:p>
        </w:tc>
        <w:tc>
          <w:tcPr>
            <w:tcW w:w="1028" w:type="dxa"/>
            <w:tcBorders>
              <w:top w:val="nil"/>
              <w:left w:val="nil"/>
              <w:bottom w:val="single" w:sz="4" w:space="0" w:color="000000"/>
              <w:right w:val="single" w:sz="4" w:space="0" w:color="000000"/>
            </w:tcBorders>
            <w:shd w:val="clear" w:color="auto" w:fill="auto"/>
            <w:noWrap/>
            <w:vAlign w:val="center"/>
            <w:hideMark/>
          </w:tcPr>
          <w:p w14:paraId="0CF2172A"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2</w:t>
            </w:r>
          </w:p>
        </w:tc>
        <w:tc>
          <w:tcPr>
            <w:tcW w:w="1261" w:type="dxa"/>
            <w:tcBorders>
              <w:top w:val="nil"/>
              <w:left w:val="nil"/>
              <w:bottom w:val="single" w:sz="4" w:space="0" w:color="000000"/>
              <w:right w:val="single" w:sz="4" w:space="0" w:color="000000"/>
            </w:tcBorders>
            <w:shd w:val="clear" w:color="auto" w:fill="auto"/>
            <w:noWrap/>
            <w:vAlign w:val="center"/>
            <w:hideMark/>
          </w:tcPr>
          <w:p w14:paraId="3E6F5863"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509E954C" w14:textId="3468F551"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1 600,00€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ED25B73"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GA or User Cluster</w:t>
            </w:r>
          </w:p>
        </w:tc>
      </w:tr>
      <w:tr w:rsidR="00B52A66" w:rsidRPr="00DD323B" w14:paraId="612CF960" w14:textId="77777777" w:rsidTr="00B52A66">
        <w:trPr>
          <w:trHeight w:val="855"/>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615EDC9B"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ISO/IEC/ITU</w:t>
            </w:r>
          </w:p>
        </w:tc>
        <w:tc>
          <w:tcPr>
            <w:tcW w:w="1410" w:type="dxa"/>
            <w:tcBorders>
              <w:top w:val="nil"/>
              <w:left w:val="nil"/>
              <w:bottom w:val="single" w:sz="4" w:space="0" w:color="000000"/>
              <w:right w:val="single" w:sz="4" w:space="0" w:color="000000"/>
            </w:tcBorders>
            <w:shd w:val="clear" w:color="auto" w:fill="auto"/>
            <w:noWrap/>
            <w:vAlign w:val="center"/>
            <w:hideMark/>
          </w:tcPr>
          <w:p w14:paraId="0F42059F" w14:textId="399802B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72DE5A08"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Geneva?</w:t>
            </w:r>
          </w:p>
        </w:tc>
        <w:tc>
          <w:tcPr>
            <w:tcW w:w="1028" w:type="dxa"/>
            <w:tcBorders>
              <w:top w:val="nil"/>
              <w:left w:val="nil"/>
              <w:bottom w:val="single" w:sz="4" w:space="0" w:color="000000"/>
              <w:right w:val="single" w:sz="4" w:space="0" w:color="000000"/>
            </w:tcBorders>
            <w:shd w:val="clear" w:color="auto" w:fill="auto"/>
            <w:noWrap/>
            <w:vAlign w:val="center"/>
            <w:hideMark/>
          </w:tcPr>
          <w:p w14:paraId="5730EABA"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261" w:type="dxa"/>
            <w:tcBorders>
              <w:top w:val="nil"/>
              <w:left w:val="nil"/>
              <w:bottom w:val="single" w:sz="4" w:space="0" w:color="000000"/>
              <w:right w:val="single" w:sz="4" w:space="0" w:color="000000"/>
            </w:tcBorders>
            <w:shd w:val="clear" w:color="auto" w:fill="auto"/>
            <w:noWrap/>
            <w:vAlign w:val="center"/>
            <w:hideMark/>
          </w:tcPr>
          <w:p w14:paraId="0AA9CB4C"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2EE8E167" w14:textId="17ABE0BF"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800,00€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14:paraId="371BE823"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 xml:space="preserve">Could </w:t>
            </w:r>
            <w:proofErr w:type="spellStart"/>
            <w:r w:rsidRPr="00B52A66">
              <w:t>paricipate</w:t>
            </w:r>
            <w:proofErr w:type="spellEnd"/>
            <w:r w:rsidRPr="00B52A66">
              <w:t xml:space="preserve"> in  one body if no combined opportunity</w:t>
            </w:r>
          </w:p>
        </w:tc>
      </w:tr>
      <w:tr w:rsidR="00B52A66" w:rsidRPr="00DD323B" w14:paraId="3FA29D4B" w14:textId="77777777" w:rsidTr="00B52A66">
        <w:trPr>
          <w:trHeight w:val="30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1567C63F"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ICT 2019</w:t>
            </w:r>
          </w:p>
        </w:tc>
        <w:tc>
          <w:tcPr>
            <w:tcW w:w="1410" w:type="dxa"/>
            <w:tcBorders>
              <w:top w:val="nil"/>
              <w:left w:val="nil"/>
              <w:bottom w:val="single" w:sz="4" w:space="0" w:color="000000"/>
              <w:right w:val="single" w:sz="4" w:space="0" w:color="000000"/>
            </w:tcBorders>
            <w:shd w:val="clear" w:color="auto" w:fill="auto"/>
            <w:noWrap/>
            <w:vAlign w:val="center"/>
            <w:hideMark/>
          </w:tcPr>
          <w:p w14:paraId="492D27B7" w14:textId="37D9CBD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64598699"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Anywhere</w:t>
            </w:r>
          </w:p>
        </w:tc>
        <w:tc>
          <w:tcPr>
            <w:tcW w:w="1028" w:type="dxa"/>
            <w:tcBorders>
              <w:top w:val="nil"/>
              <w:left w:val="nil"/>
              <w:bottom w:val="single" w:sz="4" w:space="0" w:color="000000"/>
              <w:right w:val="single" w:sz="4" w:space="0" w:color="000000"/>
            </w:tcBorders>
            <w:shd w:val="clear" w:color="auto" w:fill="auto"/>
            <w:noWrap/>
            <w:vAlign w:val="center"/>
            <w:hideMark/>
          </w:tcPr>
          <w:p w14:paraId="598D83BB"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261" w:type="dxa"/>
            <w:tcBorders>
              <w:top w:val="nil"/>
              <w:left w:val="nil"/>
              <w:bottom w:val="single" w:sz="4" w:space="0" w:color="000000"/>
              <w:right w:val="single" w:sz="4" w:space="0" w:color="000000"/>
            </w:tcBorders>
            <w:shd w:val="clear" w:color="auto" w:fill="auto"/>
            <w:noWrap/>
            <w:vAlign w:val="center"/>
            <w:hideMark/>
          </w:tcPr>
          <w:p w14:paraId="25038935"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13B37BCA" w14:textId="396CCEE4"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800,00€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7A0BD70"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Or 2019 event</w:t>
            </w:r>
          </w:p>
        </w:tc>
      </w:tr>
      <w:tr w:rsidR="00B52A66" w:rsidRPr="00DD323B" w14:paraId="199DEEF6" w14:textId="77777777" w:rsidTr="00B52A66">
        <w:trPr>
          <w:trHeight w:val="300"/>
          <w:tblHeader/>
          <w:jc w:val="center"/>
        </w:trPr>
        <w:tc>
          <w:tcPr>
            <w:tcW w:w="1328" w:type="dxa"/>
            <w:tcBorders>
              <w:top w:val="nil"/>
              <w:left w:val="single" w:sz="4" w:space="0" w:color="000000"/>
              <w:bottom w:val="single" w:sz="4" w:space="0" w:color="000000"/>
              <w:right w:val="single" w:sz="4" w:space="0" w:color="000000"/>
            </w:tcBorders>
            <w:shd w:val="clear" w:color="auto" w:fill="auto"/>
            <w:noWrap/>
            <w:vAlign w:val="center"/>
            <w:hideMark/>
          </w:tcPr>
          <w:p w14:paraId="5C792794"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OASC summer 2019</w:t>
            </w:r>
          </w:p>
        </w:tc>
        <w:tc>
          <w:tcPr>
            <w:tcW w:w="1410" w:type="dxa"/>
            <w:tcBorders>
              <w:top w:val="nil"/>
              <w:left w:val="nil"/>
              <w:bottom w:val="single" w:sz="4" w:space="0" w:color="000000"/>
              <w:right w:val="single" w:sz="4" w:space="0" w:color="000000"/>
            </w:tcBorders>
            <w:shd w:val="clear" w:color="auto" w:fill="auto"/>
            <w:noWrap/>
            <w:vAlign w:val="center"/>
            <w:hideMark/>
          </w:tcPr>
          <w:p w14:paraId="2EF030BC" w14:textId="1E49E2FD"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4F8A5937"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Aarhus</w:t>
            </w:r>
          </w:p>
        </w:tc>
        <w:tc>
          <w:tcPr>
            <w:tcW w:w="1028" w:type="dxa"/>
            <w:tcBorders>
              <w:top w:val="nil"/>
              <w:left w:val="nil"/>
              <w:bottom w:val="single" w:sz="4" w:space="0" w:color="000000"/>
              <w:right w:val="single" w:sz="4" w:space="0" w:color="000000"/>
            </w:tcBorders>
            <w:shd w:val="clear" w:color="auto" w:fill="auto"/>
            <w:noWrap/>
            <w:vAlign w:val="center"/>
            <w:hideMark/>
          </w:tcPr>
          <w:p w14:paraId="098D604F"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261" w:type="dxa"/>
            <w:tcBorders>
              <w:top w:val="nil"/>
              <w:left w:val="nil"/>
              <w:bottom w:val="single" w:sz="4" w:space="0" w:color="000000"/>
              <w:right w:val="single" w:sz="4" w:space="0" w:color="000000"/>
            </w:tcBorders>
            <w:shd w:val="clear" w:color="auto" w:fill="auto"/>
            <w:noWrap/>
            <w:vAlign w:val="center"/>
            <w:hideMark/>
          </w:tcPr>
          <w:p w14:paraId="0FB47B90"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19F4F405" w14:textId="1395B571"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t>8</w:t>
            </w:r>
            <w:r w:rsidRPr="00B52A66">
              <w:t>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654219D6" w14:textId="715E65FF"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r>
      <w:tr w:rsidR="00B52A66" w:rsidRPr="00DD323B" w14:paraId="550AB684" w14:textId="77777777" w:rsidTr="00B52A66">
        <w:trPr>
          <w:trHeight w:val="570"/>
          <w:tblHeader/>
          <w:jc w:val="center"/>
        </w:trPr>
        <w:tc>
          <w:tcPr>
            <w:tcW w:w="1328" w:type="dxa"/>
            <w:tcBorders>
              <w:top w:val="nil"/>
              <w:left w:val="single" w:sz="4" w:space="0" w:color="000000"/>
              <w:bottom w:val="single" w:sz="4" w:space="0" w:color="000000"/>
              <w:right w:val="single" w:sz="4" w:space="0" w:color="000000"/>
            </w:tcBorders>
            <w:shd w:val="clear" w:color="auto" w:fill="auto"/>
            <w:vAlign w:val="center"/>
            <w:hideMark/>
          </w:tcPr>
          <w:p w14:paraId="5AE51A79" w14:textId="77777777" w:rsidR="00B52A66" w:rsidRPr="00B52A66" w:rsidRDefault="00B52A66" w:rsidP="00B52A66">
            <w:pPr>
              <w:tabs>
                <w:tab w:val="clear" w:pos="1418"/>
                <w:tab w:val="clear" w:pos="4678"/>
                <w:tab w:val="clear" w:pos="5954"/>
                <w:tab w:val="clear" w:pos="7088"/>
              </w:tabs>
              <w:overflowPunct/>
              <w:autoSpaceDE/>
              <w:autoSpaceDN/>
              <w:adjustRightInd/>
              <w:jc w:val="left"/>
              <w:textAlignment w:val="auto"/>
            </w:pPr>
            <w:r w:rsidRPr="00B52A66">
              <w:t>ETSI TC Meetings, other conferences</w:t>
            </w:r>
          </w:p>
        </w:tc>
        <w:tc>
          <w:tcPr>
            <w:tcW w:w="1410" w:type="dxa"/>
            <w:tcBorders>
              <w:top w:val="nil"/>
              <w:left w:val="nil"/>
              <w:bottom w:val="single" w:sz="4" w:space="0" w:color="000000"/>
              <w:right w:val="single" w:sz="4" w:space="0" w:color="000000"/>
            </w:tcBorders>
            <w:shd w:val="clear" w:color="auto" w:fill="auto"/>
            <w:noWrap/>
            <w:vAlign w:val="center"/>
            <w:hideMark/>
          </w:tcPr>
          <w:p w14:paraId="22357C42" w14:textId="4D7BDF72"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p>
        </w:tc>
        <w:tc>
          <w:tcPr>
            <w:tcW w:w="1285" w:type="dxa"/>
            <w:tcBorders>
              <w:top w:val="nil"/>
              <w:left w:val="nil"/>
              <w:bottom w:val="single" w:sz="4" w:space="0" w:color="000000"/>
              <w:right w:val="single" w:sz="4" w:space="0" w:color="000000"/>
            </w:tcBorders>
            <w:shd w:val="clear" w:color="auto" w:fill="auto"/>
            <w:noWrap/>
            <w:vAlign w:val="center"/>
            <w:hideMark/>
          </w:tcPr>
          <w:p w14:paraId="78ECC3D1"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Anywhere</w:t>
            </w:r>
          </w:p>
        </w:tc>
        <w:tc>
          <w:tcPr>
            <w:tcW w:w="1028" w:type="dxa"/>
            <w:tcBorders>
              <w:top w:val="nil"/>
              <w:left w:val="nil"/>
              <w:bottom w:val="single" w:sz="4" w:space="0" w:color="000000"/>
              <w:right w:val="single" w:sz="4" w:space="0" w:color="000000"/>
            </w:tcBorders>
            <w:shd w:val="clear" w:color="auto" w:fill="auto"/>
            <w:noWrap/>
            <w:vAlign w:val="center"/>
            <w:hideMark/>
          </w:tcPr>
          <w:p w14:paraId="2E2132F2"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7</w:t>
            </w:r>
          </w:p>
        </w:tc>
        <w:tc>
          <w:tcPr>
            <w:tcW w:w="1261" w:type="dxa"/>
            <w:tcBorders>
              <w:top w:val="nil"/>
              <w:left w:val="nil"/>
              <w:bottom w:val="single" w:sz="4" w:space="0" w:color="000000"/>
              <w:right w:val="single" w:sz="4" w:space="0" w:color="000000"/>
            </w:tcBorders>
            <w:shd w:val="clear" w:color="auto" w:fill="auto"/>
            <w:noWrap/>
            <w:vAlign w:val="center"/>
            <w:hideMark/>
          </w:tcPr>
          <w:p w14:paraId="4AAC37DE"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1</w:t>
            </w:r>
          </w:p>
        </w:tc>
        <w:tc>
          <w:tcPr>
            <w:tcW w:w="1343" w:type="dxa"/>
            <w:tcBorders>
              <w:top w:val="nil"/>
              <w:left w:val="nil"/>
              <w:bottom w:val="single" w:sz="4" w:space="0" w:color="000000"/>
              <w:right w:val="nil"/>
            </w:tcBorders>
            <w:shd w:val="clear" w:color="auto" w:fill="auto"/>
            <w:noWrap/>
            <w:vAlign w:val="center"/>
            <w:hideMark/>
          </w:tcPr>
          <w:p w14:paraId="4BE82434" w14:textId="2438035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5 600,00€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23C1AF97"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pPr>
            <w:r w:rsidRPr="00B52A66">
              <w:t>One M2M, another...</w:t>
            </w:r>
          </w:p>
        </w:tc>
      </w:tr>
      <w:tr w:rsidR="00B52A66" w:rsidRPr="00DD323B" w14:paraId="3B0AD64E" w14:textId="77777777" w:rsidTr="00B52A66">
        <w:trPr>
          <w:trHeight w:val="585"/>
          <w:tblHeader/>
          <w:jc w:val="center"/>
        </w:trPr>
        <w:tc>
          <w:tcPr>
            <w:tcW w:w="13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14:paraId="4F2AA05E" w14:textId="47E205A8"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Total covered</w:t>
            </w:r>
          </w:p>
        </w:tc>
        <w:tc>
          <w:tcPr>
            <w:tcW w:w="2695" w:type="dxa"/>
            <w:gridSpan w:val="2"/>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315724AB" w14:textId="44FFE7E8"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p>
        </w:tc>
        <w:tc>
          <w:tcPr>
            <w:tcW w:w="1028" w:type="dxa"/>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14:paraId="77268AE3"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25</w:t>
            </w:r>
          </w:p>
        </w:tc>
        <w:tc>
          <w:tcPr>
            <w:tcW w:w="1261" w:type="dxa"/>
            <w:tcBorders>
              <w:top w:val="single" w:sz="4" w:space="0" w:color="000000"/>
              <w:left w:val="nil"/>
              <w:bottom w:val="single" w:sz="4" w:space="0" w:color="000000"/>
              <w:right w:val="nil"/>
            </w:tcBorders>
            <w:shd w:val="clear" w:color="auto" w:fill="A6A6A6" w:themeFill="background1" w:themeFillShade="A6"/>
            <w:noWrap/>
            <w:vAlign w:val="bottom"/>
            <w:hideMark/>
          </w:tcPr>
          <w:p w14:paraId="1CAB0D58" w14:textId="77777777"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p>
        </w:tc>
        <w:tc>
          <w:tcPr>
            <w:tcW w:w="1343" w:type="dxa"/>
            <w:tcBorders>
              <w:top w:val="single" w:sz="4" w:space="0" w:color="000000"/>
              <w:left w:val="single" w:sz="4" w:space="0" w:color="000000"/>
              <w:bottom w:val="single" w:sz="4" w:space="0" w:color="000000"/>
              <w:right w:val="nil"/>
            </w:tcBorders>
            <w:shd w:val="clear" w:color="auto" w:fill="A6A6A6" w:themeFill="background1" w:themeFillShade="A6"/>
            <w:noWrap/>
            <w:vAlign w:val="center"/>
            <w:hideMark/>
          </w:tcPr>
          <w:p w14:paraId="692BAB94" w14:textId="28707C02"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r w:rsidRPr="00B52A66">
              <w:rPr>
                <w:b/>
              </w:rPr>
              <w:t>22 400,00€</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14:paraId="4B6238F6" w14:textId="7E523290" w:rsidR="00B52A66" w:rsidRPr="00B52A66" w:rsidRDefault="00B52A66" w:rsidP="00B52A66">
            <w:pPr>
              <w:tabs>
                <w:tab w:val="clear" w:pos="1418"/>
                <w:tab w:val="clear" w:pos="4678"/>
                <w:tab w:val="clear" w:pos="5954"/>
                <w:tab w:val="clear" w:pos="7088"/>
              </w:tabs>
              <w:overflowPunct/>
              <w:autoSpaceDE/>
              <w:autoSpaceDN/>
              <w:adjustRightInd/>
              <w:jc w:val="center"/>
              <w:textAlignment w:val="auto"/>
              <w:rPr>
                <w:b/>
              </w:rPr>
            </w:pPr>
          </w:p>
        </w:tc>
      </w:tr>
    </w:tbl>
    <w:p w14:paraId="7EBA9858" w14:textId="77777777" w:rsidR="00DD323B" w:rsidRPr="00DD323B" w:rsidRDefault="00DD323B" w:rsidP="00E46006">
      <w:pPr>
        <w:rPr>
          <w:b/>
        </w:rPr>
      </w:pPr>
    </w:p>
    <w:p w14:paraId="2D2F8823" w14:textId="77777777" w:rsidR="00DD323B" w:rsidRDefault="00DD323B" w:rsidP="00E46006"/>
    <w:p w14:paraId="39638220" w14:textId="6D554573" w:rsidR="00B03FE3" w:rsidRDefault="00B03FE3" w:rsidP="00E46006"/>
    <w:p w14:paraId="7B564243" w14:textId="77777777" w:rsidR="00B03FE3" w:rsidRPr="0067209B" w:rsidRDefault="00B03FE3" w:rsidP="00E46006"/>
    <w:p w14:paraId="6E622163"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Equipment necessary to implement the action</w:t>
      </w:r>
    </w:p>
    <w:p w14:paraId="45A7B891" w14:textId="04C807C0" w:rsidR="00E46006" w:rsidRDefault="00E46006" w:rsidP="00E46006">
      <w:r w:rsidRPr="0067209B">
        <w:t>N/A</w:t>
      </w:r>
    </w:p>
    <w:p w14:paraId="08DE105E" w14:textId="77777777" w:rsidR="008207D1" w:rsidRPr="0067209B" w:rsidRDefault="008207D1" w:rsidP="00E46006"/>
    <w:p w14:paraId="4E607834"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Cost of consumables and supplies necessary to implement the action</w:t>
      </w:r>
    </w:p>
    <w:p w14:paraId="65F04173" w14:textId="659F1781" w:rsidR="00E46006" w:rsidRDefault="00E46006" w:rsidP="00E46006">
      <w:r w:rsidRPr="0067209B">
        <w:t>N/A</w:t>
      </w:r>
    </w:p>
    <w:p w14:paraId="23559C23" w14:textId="77777777" w:rsidR="008207D1" w:rsidRPr="0067209B" w:rsidRDefault="008207D1" w:rsidP="00E46006"/>
    <w:p w14:paraId="4D0BBB75"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Other costs and services necessary to implement the action</w:t>
      </w:r>
    </w:p>
    <w:p w14:paraId="562359CF" w14:textId="4B152C85" w:rsidR="00E46006" w:rsidRDefault="00E46006" w:rsidP="00E46006">
      <w:r w:rsidRPr="0067209B">
        <w:t>N/A</w:t>
      </w:r>
    </w:p>
    <w:p w14:paraId="0659D35F" w14:textId="77777777" w:rsidR="008207D1" w:rsidRPr="0067209B" w:rsidRDefault="008207D1" w:rsidP="00E46006"/>
    <w:p w14:paraId="25394007" w14:textId="77777777" w:rsidR="00E46006" w:rsidRPr="0067209B" w:rsidRDefault="00E46006" w:rsidP="001F6288">
      <w:pPr>
        <w:pStyle w:val="Heading2"/>
        <w:keepLines w:val="0"/>
        <w:numPr>
          <w:ilvl w:val="1"/>
          <w:numId w:val="8"/>
        </w:numPr>
        <w:tabs>
          <w:tab w:val="clear" w:pos="1418"/>
        </w:tabs>
        <w:overflowPunct/>
        <w:autoSpaceDE/>
        <w:autoSpaceDN/>
        <w:adjustRightInd/>
        <w:jc w:val="both"/>
        <w:textAlignment w:val="auto"/>
      </w:pPr>
      <w:r w:rsidRPr="0067209B">
        <w:t xml:space="preserve">Subcontracting to external organisations </w:t>
      </w:r>
    </w:p>
    <w:p w14:paraId="3CA1F93B" w14:textId="31A3B804" w:rsidR="00E46006" w:rsidRDefault="00B03FE3" w:rsidP="00E46006">
      <w:pPr>
        <w:pStyle w:val="TAC"/>
        <w:jc w:val="left"/>
      </w:pPr>
      <w:r w:rsidRPr="00B03FE3">
        <w:rPr>
          <w:sz w:val="20"/>
        </w:rPr>
        <w:t>Assuming the proposed Open Meeting is held in Brussels, a sub-contracting budget of 30 000 € is required for hire of premises should these not be available free of charge.</w:t>
      </w:r>
    </w:p>
    <w:p w14:paraId="54F9EBC2" w14:textId="649D776A" w:rsidR="00E46006" w:rsidRDefault="00E46006">
      <w:pPr>
        <w:tabs>
          <w:tab w:val="clear" w:pos="1418"/>
          <w:tab w:val="clear" w:pos="4678"/>
          <w:tab w:val="clear" w:pos="5954"/>
          <w:tab w:val="clear" w:pos="7088"/>
        </w:tabs>
        <w:overflowPunct/>
        <w:autoSpaceDE/>
        <w:autoSpaceDN/>
        <w:adjustRightInd/>
        <w:jc w:val="left"/>
        <w:textAlignment w:val="auto"/>
      </w:pPr>
    </w:p>
    <w:sectPr w:rsidR="00E46006" w:rsidSect="00B52A66">
      <w:headerReference w:type="default" r:id="rId17"/>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5470" w14:textId="77777777" w:rsidR="00DD323B" w:rsidRDefault="00DD323B">
      <w:r>
        <w:separator/>
      </w:r>
    </w:p>
  </w:endnote>
  <w:endnote w:type="continuationSeparator" w:id="0">
    <w:p w14:paraId="5950D36A" w14:textId="77777777" w:rsidR="00DD323B" w:rsidRDefault="00D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MT">
    <w:charset w:val="00"/>
    <w:family w:val="swiss"/>
    <w:pitch w:val="default"/>
  </w:font>
  <w:font w:name="Arial-ItalicMT">
    <w:charset w:val="00"/>
    <w:family w:val="swiss"/>
    <w:pitch w:val="default"/>
  </w:font>
  <w:font w:name="TimesNewRomanPS-Bold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441E" w14:textId="77777777" w:rsidR="00DD323B" w:rsidRDefault="00DD323B">
      <w:r>
        <w:separator/>
      </w:r>
    </w:p>
  </w:footnote>
  <w:footnote w:type="continuationSeparator" w:id="0">
    <w:p w14:paraId="02F689A6" w14:textId="77777777" w:rsidR="00DD323B" w:rsidRDefault="00DD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C9CD" w14:textId="681D1C24" w:rsidR="00DD323B" w:rsidRDefault="00DD323B">
    <w:pPr>
      <w:pStyle w:val="Header"/>
    </w:pPr>
    <w:proofErr w:type="spellStart"/>
    <w:r>
      <w:t>ToR</w:t>
    </w:r>
    <w:proofErr w:type="spellEnd"/>
    <w:r>
      <w:t xml:space="preserve"> STF CT</w:t>
    </w:r>
  </w:p>
  <w:p w14:paraId="6F204E04" w14:textId="411899CC" w:rsidR="00DD323B" w:rsidRPr="006A5009" w:rsidRDefault="00751018" w:rsidP="006A5009">
    <w:pPr>
      <w:pStyle w:val="Header"/>
      <w:rPr>
        <w:b w:val="0"/>
      </w:rPr>
    </w:pPr>
    <w:sdt>
      <w:sdtPr>
        <w:rPr>
          <w:i w:val="0"/>
          <w:sz w:val="20"/>
        </w:rPr>
        <w:id w:val="191192966"/>
        <w:docPartObj>
          <w:docPartGallery w:val="Page Numbers (Top of Page)"/>
          <w:docPartUnique/>
        </w:docPartObj>
      </w:sdtPr>
      <w:sdtEndPr>
        <w:rPr>
          <w:b w:val="0"/>
          <w:i/>
          <w:sz w:val="32"/>
        </w:rPr>
      </w:sdtEndPr>
      <w:sdtContent>
        <w:r w:rsidR="00DD323B" w:rsidRPr="00E04542">
          <w:rPr>
            <w:b w:val="0"/>
            <w:sz w:val="20"/>
          </w:rPr>
          <w:t xml:space="preserve">Page </w:t>
        </w:r>
        <w:r w:rsidR="00DD323B" w:rsidRPr="00E04542">
          <w:rPr>
            <w:b w:val="0"/>
            <w:bCs w:val="0"/>
            <w:sz w:val="20"/>
          </w:rPr>
          <w:fldChar w:fldCharType="begin"/>
        </w:r>
        <w:r w:rsidR="00DD323B" w:rsidRPr="00E04542">
          <w:rPr>
            <w:b w:val="0"/>
            <w:sz w:val="20"/>
          </w:rPr>
          <w:instrText xml:space="preserve"> PAGE </w:instrText>
        </w:r>
        <w:r w:rsidR="00DD323B" w:rsidRPr="00E04542">
          <w:rPr>
            <w:b w:val="0"/>
            <w:bCs w:val="0"/>
            <w:sz w:val="20"/>
          </w:rPr>
          <w:fldChar w:fldCharType="separate"/>
        </w:r>
        <w:r>
          <w:rPr>
            <w:b w:val="0"/>
            <w:noProof/>
            <w:sz w:val="20"/>
          </w:rPr>
          <w:t>4</w:t>
        </w:r>
        <w:r w:rsidR="00DD323B" w:rsidRPr="00E04542">
          <w:rPr>
            <w:b w:val="0"/>
            <w:bCs w:val="0"/>
            <w:sz w:val="20"/>
          </w:rPr>
          <w:fldChar w:fldCharType="end"/>
        </w:r>
        <w:r w:rsidR="00DD323B" w:rsidRPr="00E04542">
          <w:rPr>
            <w:b w:val="0"/>
            <w:sz w:val="20"/>
          </w:rPr>
          <w:t xml:space="preserve"> of </w:t>
        </w:r>
        <w:r w:rsidR="00DD323B" w:rsidRPr="00E04542">
          <w:rPr>
            <w:b w:val="0"/>
            <w:bCs w:val="0"/>
            <w:sz w:val="20"/>
          </w:rPr>
          <w:fldChar w:fldCharType="begin"/>
        </w:r>
        <w:r w:rsidR="00DD323B" w:rsidRPr="00E04542">
          <w:rPr>
            <w:b w:val="0"/>
            <w:sz w:val="20"/>
          </w:rPr>
          <w:instrText xml:space="preserve"> NUMPAGES  </w:instrText>
        </w:r>
        <w:r w:rsidR="00DD323B" w:rsidRPr="00E04542">
          <w:rPr>
            <w:b w:val="0"/>
            <w:bCs w:val="0"/>
            <w:sz w:val="20"/>
          </w:rPr>
          <w:fldChar w:fldCharType="separate"/>
        </w:r>
        <w:r>
          <w:rPr>
            <w:b w:val="0"/>
            <w:noProof/>
            <w:sz w:val="20"/>
          </w:rPr>
          <w:t>14</w:t>
        </w:r>
        <w:r w:rsidR="00DD323B" w:rsidRPr="00E04542">
          <w:rPr>
            <w:b w:val="0"/>
            <w:bCs w:val="0"/>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9" w:type="dxa"/>
      <w:jc w:val="right"/>
      <w:tblLook w:val="01E0" w:firstRow="1" w:lastRow="1" w:firstColumn="1" w:lastColumn="1" w:noHBand="0" w:noVBand="0"/>
    </w:tblPr>
    <w:tblGrid>
      <w:gridCol w:w="5039"/>
    </w:tblGrid>
    <w:tr w:rsidR="00DD323B" w14:paraId="163C995B" w14:textId="77777777">
      <w:trPr>
        <w:jc w:val="right"/>
      </w:trPr>
      <w:tc>
        <w:tcPr>
          <w:tcW w:w="5039" w:type="dxa"/>
        </w:tcPr>
        <w:p w14:paraId="73301257" w14:textId="688B9EE1" w:rsidR="00DD323B" w:rsidRDefault="00DD323B" w:rsidP="00B929F5">
          <w:pPr>
            <w:pStyle w:val="Header"/>
          </w:pPr>
          <w:proofErr w:type="spellStart"/>
          <w:r>
            <w:t>ToR</w:t>
          </w:r>
          <w:proofErr w:type="spellEnd"/>
          <w:r>
            <w:t xml:space="preserve"> STF CQ</w:t>
          </w:r>
        </w:p>
      </w:tc>
    </w:tr>
    <w:tr w:rsidR="00DD323B" w14:paraId="3752E92F" w14:textId="77777777">
      <w:trPr>
        <w:jc w:val="right"/>
      </w:trPr>
      <w:tc>
        <w:tcPr>
          <w:tcW w:w="5039" w:type="dxa"/>
        </w:tcPr>
        <w:p w14:paraId="2DD3F461" w14:textId="099B0F5C" w:rsidR="00DD323B" w:rsidRPr="001B5122" w:rsidRDefault="00DD323B"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751018">
            <w:rPr>
              <w:noProof/>
            </w:rPr>
            <w:t>14</w:t>
          </w:r>
          <w:r w:rsidRPr="001B5122">
            <w:fldChar w:fldCharType="end"/>
          </w:r>
          <w:r w:rsidRPr="001B5122">
            <w:t xml:space="preserve"> of </w:t>
          </w:r>
          <w:r w:rsidR="00556E26">
            <w:rPr>
              <w:noProof/>
            </w:rPr>
            <w:fldChar w:fldCharType="begin"/>
          </w:r>
          <w:r w:rsidR="00556E26">
            <w:rPr>
              <w:noProof/>
            </w:rPr>
            <w:instrText xml:space="preserve"> NUMPAGES   \* MERGEFORMAT </w:instrText>
          </w:r>
          <w:r w:rsidR="00556E26">
            <w:rPr>
              <w:noProof/>
            </w:rPr>
            <w:fldChar w:fldCharType="separate"/>
          </w:r>
          <w:r w:rsidR="00751018">
            <w:rPr>
              <w:noProof/>
            </w:rPr>
            <w:t>14</w:t>
          </w:r>
          <w:r w:rsidR="00556E26">
            <w:rPr>
              <w:noProof/>
            </w:rPr>
            <w:fldChar w:fldCharType="end"/>
          </w:r>
        </w:p>
      </w:tc>
    </w:tr>
  </w:tbl>
  <w:p w14:paraId="02C86F8B" w14:textId="77777777" w:rsidR="00DD323B" w:rsidRPr="001B5122" w:rsidRDefault="00DD323B"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4AD5FBA"/>
    <w:multiLevelType w:val="hybridMultilevel"/>
    <w:tmpl w:val="64F8FDA0"/>
    <w:lvl w:ilvl="0" w:tplc="70A85F86">
      <w:numFmt w:val="bullet"/>
      <w:lvlText w:val="•"/>
      <w:lvlJc w:val="left"/>
      <w:pPr>
        <w:ind w:left="1425" w:hanging="1425"/>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6BF7E71"/>
    <w:multiLevelType w:val="multilevel"/>
    <w:tmpl w:val="3F866904"/>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F5880"/>
    <w:multiLevelType w:val="hybridMultilevel"/>
    <w:tmpl w:val="014ABC24"/>
    <w:lvl w:ilvl="0" w:tplc="70A85F86">
      <w:numFmt w:val="bullet"/>
      <w:lvlText w:val="•"/>
      <w:lvlJc w:val="left"/>
      <w:pPr>
        <w:ind w:left="1425" w:hanging="142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0BD643C"/>
    <w:multiLevelType w:val="hybridMultilevel"/>
    <w:tmpl w:val="12F83892"/>
    <w:lvl w:ilvl="0" w:tplc="1674C0D4">
      <w:start w:val="1"/>
      <w:numFmt w:val="bullet"/>
      <w:pStyle w:val="TB1"/>
      <w:lvlText w:val=""/>
      <w:lvlJc w:val="left"/>
      <w:pPr>
        <w:ind w:left="644" w:hanging="360"/>
      </w:pPr>
      <w:rPr>
        <w:rFonts w:ascii="Symbol" w:hAnsi="Symbol" w:hint="default"/>
      </w:rPr>
    </w:lvl>
    <w:lvl w:ilvl="1" w:tplc="0410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C0D08"/>
    <w:multiLevelType w:val="hybridMultilevel"/>
    <w:tmpl w:val="224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1"/>
    <w:lvlOverride w:ilvl="0">
      <w:startOverride w:val="1"/>
    </w:lvlOverride>
  </w:num>
  <w:num w:numId="5">
    <w:abstractNumId w:val="8"/>
  </w:num>
  <w:num w:numId="6">
    <w:abstractNumId w:val="6"/>
  </w:num>
  <w:num w:numId="7">
    <w:abstractNumId w:val="10"/>
  </w:num>
  <w:num w:numId="8">
    <w:abstractNumId w:val="5"/>
  </w:num>
  <w:num w:numId="9">
    <w:abstractNumId w:val="7"/>
  </w:num>
  <w:num w:numId="10">
    <w:abstractNumId w:val="14"/>
  </w:num>
  <w:num w:numId="11">
    <w:abstractNumId w:val="12"/>
  </w:num>
  <w:num w:numId="12">
    <w:abstractNumId w:val="13"/>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1277"/>
    <w:rsid w:val="00037530"/>
    <w:rsid w:val="000454EE"/>
    <w:rsid w:val="0004591F"/>
    <w:rsid w:val="00045D53"/>
    <w:rsid w:val="000460EC"/>
    <w:rsid w:val="00050CD7"/>
    <w:rsid w:val="00052A10"/>
    <w:rsid w:val="00056F5A"/>
    <w:rsid w:val="00061EB1"/>
    <w:rsid w:val="000633C1"/>
    <w:rsid w:val="0006411F"/>
    <w:rsid w:val="00064399"/>
    <w:rsid w:val="00064D0E"/>
    <w:rsid w:val="00067A31"/>
    <w:rsid w:val="00070094"/>
    <w:rsid w:val="0007181A"/>
    <w:rsid w:val="00071C49"/>
    <w:rsid w:val="00082F62"/>
    <w:rsid w:val="000830DC"/>
    <w:rsid w:val="00083911"/>
    <w:rsid w:val="00094E3E"/>
    <w:rsid w:val="000A005B"/>
    <w:rsid w:val="000A1222"/>
    <w:rsid w:val="000A4246"/>
    <w:rsid w:val="000A5E70"/>
    <w:rsid w:val="000B331A"/>
    <w:rsid w:val="000C0AB2"/>
    <w:rsid w:val="000C0FA4"/>
    <w:rsid w:val="000C5B6B"/>
    <w:rsid w:val="000C6800"/>
    <w:rsid w:val="000C6889"/>
    <w:rsid w:val="000D0026"/>
    <w:rsid w:val="000D4549"/>
    <w:rsid w:val="000D5911"/>
    <w:rsid w:val="000D6CA9"/>
    <w:rsid w:val="000D709D"/>
    <w:rsid w:val="000E0FBC"/>
    <w:rsid w:val="000E117A"/>
    <w:rsid w:val="000E1F4E"/>
    <w:rsid w:val="000E60E1"/>
    <w:rsid w:val="000E78C8"/>
    <w:rsid w:val="000F2388"/>
    <w:rsid w:val="000F2D9E"/>
    <w:rsid w:val="00101434"/>
    <w:rsid w:val="00104A3F"/>
    <w:rsid w:val="0011043B"/>
    <w:rsid w:val="00133C8A"/>
    <w:rsid w:val="001350FA"/>
    <w:rsid w:val="0013534E"/>
    <w:rsid w:val="0014707A"/>
    <w:rsid w:val="00147BD3"/>
    <w:rsid w:val="00154A51"/>
    <w:rsid w:val="0015530C"/>
    <w:rsid w:val="00165767"/>
    <w:rsid w:val="00166269"/>
    <w:rsid w:val="001711F0"/>
    <w:rsid w:val="001717F4"/>
    <w:rsid w:val="00173A6C"/>
    <w:rsid w:val="00180CA3"/>
    <w:rsid w:val="001812F1"/>
    <w:rsid w:val="0018378D"/>
    <w:rsid w:val="0018698A"/>
    <w:rsid w:val="001905EE"/>
    <w:rsid w:val="00190FCC"/>
    <w:rsid w:val="00191B16"/>
    <w:rsid w:val="0019417E"/>
    <w:rsid w:val="001961FA"/>
    <w:rsid w:val="0019749C"/>
    <w:rsid w:val="001A0490"/>
    <w:rsid w:val="001A3BE6"/>
    <w:rsid w:val="001A62E6"/>
    <w:rsid w:val="001A633F"/>
    <w:rsid w:val="001B193F"/>
    <w:rsid w:val="001B5122"/>
    <w:rsid w:val="001C0CBC"/>
    <w:rsid w:val="001D03A4"/>
    <w:rsid w:val="001D044E"/>
    <w:rsid w:val="001D531B"/>
    <w:rsid w:val="001D651B"/>
    <w:rsid w:val="001D65F1"/>
    <w:rsid w:val="001D759F"/>
    <w:rsid w:val="001D7882"/>
    <w:rsid w:val="001D7F24"/>
    <w:rsid w:val="001E04B0"/>
    <w:rsid w:val="001E70D8"/>
    <w:rsid w:val="001F6288"/>
    <w:rsid w:val="001F6978"/>
    <w:rsid w:val="00200AC7"/>
    <w:rsid w:val="00202155"/>
    <w:rsid w:val="00203A22"/>
    <w:rsid w:val="00203E1D"/>
    <w:rsid w:val="002067E4"/>
    <w:rsid w:val="002074F3"/>
    <w:rsid w:val="00207D29"/>
    <w:rsid w:val="0021101A"/>
    <w:rsid w:val="00211930"/>
    <w:rsid w:val="00212D27"/>
    <w:rsid w:val="00213878"/>
    <w:rsid w:val="002146B2"/>
    <w:rsid w:val="00214CBE"/>
    <w:rsid w:val="00221020"/>
    <w:rsid w:val="002214FF"/>
    <w:rsid w:val="00221848"/>
    <w:rsid w:val="002239A9"/>
    <w:rsid w:val="00225FBC"/>
    <w:rsid w:val="00226C19"/>
    <w:rsid w:val="00227D8D"/>
    <w:rsid w:val="00230372"/>
    <w:rsid w:val="00232234"/>
    <w:rsid w:val="00235703"/>
    <w:rsid w:val="002362C3"/>
    <w:rsid w:val="0024009C"/>
    <w:rsid w:val="00240892"/>
    <w:rsid w:val="00240D44"/>
    <w:rsid w:val="00240DFC"/>
    <w:rsid w:val="00245DEF"/>
    <w:rsid w:val="00246158"/>
    <w:rsid w:val="002465C1"/>
    <w:rsid w:val="00255D75"/>
    <w:rsid w:val="00255E43"/>
    <w:rsid w:val="00260BF9"/>
    <w:rsid w:val="002611D0"/>
    <w:rsid w:val="002706C4"/>
    <w:rsid w:val="00277A57"/>
    <w:rsid w:val="00283CAF"/>
    <w:rsid w:val="0028582D"/>
    <w:rsid w:val="0028788D"/>
    <w:rsid w:val="002967EE"/>
    <w:rsid w:val="002A3509"/>
    <w:rsid w:val="002A5ADD"/>
    <w:rsid w:val="002B3C3B"/>
    <w:rsid w:val="002B4116"/>
    <w:rsid w:val="002B53F4"/>
    <w:rsid w:val="002C0D22"/>
    <w:rsid w:val="002C43F3"/>
    <w:rsid w:val="002C520E"/>
    <w:rsid w:val="002D01AC"/>
    <w:rsid w:val="002D05B7"/>
    <w:rsid w:val="002D0E5E"/>
    <w:rsid w:val="002D7F7F"/>
    <w:rsid w:val="002E0501"/>
    <w:rsid w:val="002E2077"/>
    <w:rsid w:val="002E2C46"/>
    <w:rsid w:val="002E5735"/>
    <w:rsid w:val="002E7743"/>
    <w:rsid w:val="002F2159"/>
    <w:rsid w:val="002F5456"/>
    <w:rsid w:val="00301EAE"/>
    <w:rsid w:val="00317D80"/>
    <w:rsid w:val="0032165A"/>
    <w:rsid w:val="00326B5F"/>
    <w:rsid w:val="00332212"/>
    <w:rsid w:val="00334B5B"/>
    <w:rsid w:val="003418E3"/>
    <w:rsid w:val="00342C1C"/>
    <w:rsid w:val="0034301C"/>
    <w:rsid w:val="0034680C"/>
    <w:rsid w:val="00346D37"/>
    <w:rsid w:val="003503FE"/>
    <w:rsid w:val="00353577"/>
    <w:rsid w:val="003559B9"/>
    <w:rsid w:val="003609B4"/>
    <w:rsid w:val="003619E6"/>
    <w:rsid w:val="00362313"/>
    <w:rsid w:val="00362890"/>
    <w:rsid w:val="0036662F"/>
    <w:rsid w:val="0036682D"/>
    <w:rsid w:val="00366967"/>
    <w:rsid w:val="003712C2"/>
    <w:rsid w:val="0037662C"/>
    <w:rsid w:val="003930E3"/>
    <w:rsid w:val="00394791"/>
    <w:rsid w:val="003A1AC2"/>
    <w:rsid w:val="003A2413"/>
    <w:rsid w:val="003A7099"/>
    <w:rsid w:val="003A7178"/>
    <w:rsid w:val="003B6DF7"/>
    <w:rsid w:val="003C10D0"/>
    <w:rsid w:val="003C154B"/>
    <w:rsid w:val="003C1C4D"/>
    <w:rsid w:val="003C3959"/>
    <w:rsid w:val="003C767B"/>
    <w:rsid w:val="003D0A69"/>
    <w:rsid w:val="003D338D"/>
    <w:rsid w:val="003E364C"/>
    <w:rsid w:val="003E4CD8"/>
    <w:rsid w:val="003F17C4"/>
    <w:rsid w:val="003F5DD5"/>
    <w:rsid w:val="004004CA"/>
    <w:rsid w:val="00400599"/>
    <w:rsid w:val="00400D2C"/>
    <w:rsid w:val="0040354F"/>
    <w:rsid w:val="00403DC4"/>
    <w:rsid w:val="004044D7"/>
    <w:rsid w:val="004054AD"/>
    <w:rsid w:val="00405DEE"/>
    <w:rsid w:val="004126CE"/>
    <w:rsid w:val="00413CCE"/>
    <w:rsid w:val="0041473D"/>
    <w:rsid w:val="004176AE"/>
    <w:rsid w:val="00417E24"/>
    <w:rsid w:val="004225E0"/>
    <w:rsid w:val="0042612C"/>
    <w:rsid w:val="00431BF6"/>
    <w:rsid w:val="00437646"/>
    <w:rsid w:val="00440C7C"/>
    <w:rsid w:val="004424CA"/>
    <w:rsid w:val="004424FD"/>
    <w:rsid w:val="00445B21"/>
    <w:rsid w:val="00451FEB"/>
    <w:rsid w:val="00462194"/>
    <w:rsid w:val="00464676"/>
    <w:rsid w:val="0046578B"/>
    <w:rsid w:val="00465A44"/>
    <w:rsid w:val="00466814"/>
    <w:rsid w:val="00470A52"/>
    <w:rsid w:val="0047464C"/>
    <w:rsid w:val="00475757"/>
    <w:rsid w:val="00481289"/>
    <w:rsid w:val="0048227B"/>
    <w:rsid w:val="0048429F"/>
    <w:rsid w:val="00486632"/>
    <w:rsid w:val="0049295D"/>
    <w:rsid w:val="00493DE6"/>
    <w:rsid w:val="004958BB"/>
    <w:rsid w:val="004971F3"/>
    <w:rsid w:val="00497308"/>
    <w:rsid w:val="004A15DF"/>
    <w:rsid w:val="004A45D0"/>
    <w:rsid w:val="004A4C54"/>
    <w:rsid w:val="004A7599"/>
    <w:rsid w:val="004B0855"/>
    <w:rsid w:val="004B0A35"/>
    <w:rsid w:val="004B4072"/>
    <w:rsid w:val="004C0489"/>
    <w:rsid w:val="004D0AF0"/>
    <w:rsid w:val="004D4BFD"/>
    <w:rsid w:val="004E31EA"/>
    <w:rsid w:val="004E546F"/>
    <w:rsid w:val="004E59A2"/>
    <w:rsid w:val="004F0134"/>
    <w:rsid w:val="004F1A64"/>
    <w:rsid w:val="004F33E5"/>
    <w:rsid w:val="004F343B"/>
    <w:rsid w:val="004F4A6E"/>
    <w:rsid w:val="004F6A9B"/>
    <w:rsid w:val="0050099A"/>
    <w:rsid w:val="00500E4A"/>
    <w:rsid w:val="00503BA6"/>
    <w:rsid w:val="0051193B"/>
    <w:rsid w:val="0051352B"/>
    <w:rsid w:val="00513654"/>
    <w:rsid w:val="005136FB"/>
    <w:rsid w:val="005203E7"/>
    <w:rsid w:val="00520A7D"/>
    <w:rsid w:val="0052216D"/>
    <w:rsid w:val="005225F6"/>
    <w:rsid w:val="0052429C"/>
    <w:rsid w:val="00527D8C"/>
    <w:rsid w:val="00530CCB"/>
    <w:rsid w:val="005368C1"/>
    <w:rsid w:val="00537418"/>
    <w:rsid w:val="0053799E"/>
    <w:rsid w:val="00547939"/>
    <w:rsid w:val="005510D7"/>
    <w:rsid w:val="00556E26"/>
    <w:rsid w:val="005631F0"/>
    <w:rsid w:val="005632B9"/>
    <w:rsid w:val="00571192"/>
    <w:rsid w:val="00572267"/>
    <w:rsid w:val="00575A75"/>
    <w:rsid w:val="00575C53"/>
    <w:rsid w:val="00576932"/>
    <w:rsid w:val="00583470"/>
    <w:rsid w:val="00583F1C"/>
    <w:rsid w:val="00587E1B"/>
    <w:rsid w:val="00590D14"/>
    <w:rsid w:val="00593699"/>
    <w:rsid w:val="005A0166"/>
    <w:rsid w:val="005A0607"/>
    <w:rsid w:val="005A4BED"/>
    <w:rsid w:val="005A5A22"/>
    <w:rsid w:val="005B2629"/>
    <w:rsid w:val="005B52B4"/>
    <w:rsid w:val="005B5893"/>
    <w:rsid w:val="005B58E9"/>
    <w:rsid w:val="005C02A4"/>
    <w:rsid w:val="005C14E4"/>
    <w:rsid w:val="005C2966"/>
    <w:rsid w:val="005C33B1"/>
    <w:rsid w:val="005C4A56"/>
    <w:rsid w:val="005C56DC"/>
    <w:rsid w:val="005D07FE"/>
    <w:rsid w:val="005D0EC8"/>
    <w:rsid w:val="005D33AE"/>
    <w:rsid w:val="005D4718"/>
    <w:rsid w:val="005E0C03"/>
    <w:rsid w:val="005E47D0"/>
    <w:rsid w:val="005E567D"/>
    <w:rsid w:val="005F1768"/>
    <w:rsid w:val="005F2F07"/>
    <w:rsid w:val="005F4B92"/>
    <w:rsid w:val="005F7BFB"/>
    <w:rsid w:val="00601A91"/>
    <w:rsid w:val="006038EC"/>
    <w:rsid w:val="00606DD1"/>
    <w:rsid w:val="006156F4"/>
    <w:rsid w:val="00615997"/>
    <w:rsid w:val="00616732"/>
    <w:rsid w:val="0062176C"/>
    <w:rsid w:val="00626E24"/>
    <w:rsid w:val="0062724E"/>
    <w:rsid w:val="0063043F"/>
    <w:rsid w:val="006308BC"/>
    <w:rsid w:val="00631CBF"/>
    <w:rsid w:val="0063448F"/>
    <w:rsid w:val="00635BBD"/>
    <w:rsid w:val="0064246D"/>
    <w:rsid w:val="00645150"/>
    <w:rsid w:val="00652D4E"/>
    <w:rsid w:val="006707E2"/>
    <w:rsid w:val="006718C2"/>
    <w:rsid w:val="006739A1"/>
    <w:rsid w:val="006846BF"/>
    <w:rsid w:val="00685821"/>
    <w:rsid w:val="00691BA1"/>
    <w:rsid w:val="006A3D4C"/>
    <w:rsid w:val="006A5009"/>
    <w:rsid w:val="006B4428"/>
    <w:rsid w:val="006B4AC0"/>
    <w:rsid w:val="006B7D87"/>
    <w:rsid w:val="006C14E6"/>
    <w:rsid w:val="006C171B"/>
    <w:rsid w:val="006C2637"/>
    <w:rsid w:val="006C2B23"/>
    <w:rsid w:val="006C321E"/>
    <w:rsid w:val="006C62A5"/>
    <w:rsid w:val="006C6965"/>
    <w:rsid w:val="006D4C78"/>
    <w:rsid w:val="006D7A6A"/>
    <w:rsid w:val="006E409F"/>
    <w:rsid w:val="006E5BFF"/>
    <w:rsid w:val="006F0340"/>
    <w:rsid w:val="006F04F5"/>
    <w:rsid w:val="006F1741"/>
    <w:rsid w:val="006F582B"/>
    <w:rsid w:val="00704AB4"/>
    <w:rsid w:val="00705310"/>
    <w:rsid w:val="007079B2"/>
    <w:rsid w:val="00707D3E"/>
    <w:rsid w:val="007109FA"/>
    <w:rsid w:val="0071112F"/>
    <w:rsid w:val="00711FB6"/>
    <w:rsid w:val="00712FB8"/>
    <w:rsid w:val="0071547D"/>
    <w:rsid w:val="00721494"/>
    <w:rsid w:val="00723850"/>
    <w:rsid w:val="00731126"/>
    <w:rsid w:val="007315D9"/>
    <w:rsid w:val="00732C51"/>
    <w:rsid w:val="00733644"/>
    <w:rsid w:val="00734828"/>
    <w:rsid w:val="0073613B"/>
    <w:rsid w:val="00736DFB"/>
    <w:rsid w:val="00737527"/>
    <w:rsid w:val="00743F5E"/>
    <w:rsid w:val="00744709"/>
    <w:rsid w:val="00751018"/>
    <w:rsid w:val="00757205"/>
    <w:rsid w:val="00757985"/>
    <w:rsid w:val="007648F6"/>
    <w:rsid w:val="00766AD0"/>
    <w:rsid w:val="00767947"/>
    <w:rsid w:val="00771071"/>
    <w:rsid w:val="00771F98"/>
    <w:rsid w:val="00773364"/>
    <w:rsid w:val="00773BA8"/>
    <w:rsid w:val="00773BE4"/>
    <w:rsid w:val="00780BF7"/>
    <w:rsid w:val="007837E0"/>
    <w:rsid w:val="00786693"/>
    <w:rsid w:val="00792472"/>
    <w:rsid w:val="0079329C"/>
    <w:rsid w:val="00793352"/>
    <w:rsid w:val="0079564C"/>
    <w:rsid w:val="007A0931"/>
    <w:rsid w:val="007A0C79"/>
    <w:rsid w:val="007A31AC"/>
    <w:rsid w:val="007A57C1"/>
    <w:rsid w:val="007B0BBD"/>
    <w:rsid w:val="007B17AA"/>
    <w:rsid w:val="007B563E"/>
    <w:rsid w:val="007D0E61"/>
    <w:rsid w:val="007D5EAB"/>
    <w:rsid w:val="007E0FC6"/>
    <w:rsid w:val="007E2B68"/>
    <w:rsid w:val="007E467E"/>
    <w:rsid w:val="007E46DD"/>
    <w:rsid w:val="007E5A56"/>
    <w:rsid w:val="007E6A3F"/>
    <w:rsid w:val="007F010F"/>
    <w:rsid w:val="007F0913"/>
    <w:rsid w:val="007F3679"/>
    <w:rsid w:val="007F6E95"/>
    <w:rsid w:val="00813EF7"/>
    <w:rsid w:val="00814ABE"/>
    <w:rsid w:val="008158E9"/>
    <w:rsid w:val="008207D1"/>
    <w:rsid w:val="00822DC3"/>
    <w:rsid w:val="00830B93"/>
    <w:rsid w:val="00831C0B"/>
    <w:rsid w:val="00836C17"/>
    <w:rsid w:val="008400DA"/>
    <w:rsid w:val="008437DE"/>
    <w:rsid w:val="00847B2F"/>
    <w:rsid w:val="00857B17"/>
    <w:rsid w:val="008727C9"/>
    <w:rsid w:val="00873FA3"/>
    <w:rsid w:val="008748FD"/>
    <w:rsid w:val="00876F48"/>
    <w:rsid w:val="00884322"/>
    <w:rsid w:val="008853C8"/>
    <w:rsid w:val="00894284"/>
    <w:rsid w:val="00897CF4"/>
    <w:rsid w:val="008A19A2"/>
    <w:rsid w:val="008A41E5"/>
    <w:rsid w:val="008B2A42"/>
    <w:rsid w:val="008B3167"/>
    <w:rsid w:val="008C1309"/>
    <w:rsid w:val="008D1331"/>
    <w:rsid w:val="008D5CDB"/>
    <w:rsid w:val="008D5CF1"/>
    <w:rsid w:val="008D64C9"/>
    <w:rsid w:val="008E05EC"/>
    <w:rsid w:val="008E26DA"/>
    <w:rsid w:val="008F321C"/>
    <w:rsid w:val="008F39AD"/>
    <w:rsid w:val="0090778A"/>
    <w:rsid w:val="009100D8"/>
    <w:rsid w:val="00910D92"/>
    <w:rsid w:val="00912062"/>
    <w:rsid w:val="00913632"/>
    <w:rsid w:val="009159EB"/>
    <w:rsid w:val="00915AB2"/>
    <w:rsid w:val="00916929"/>
    <w:rsid w:val="00920014"/>
    <w:rsid w:val="00923E9E"/>
    <w:rsid w:val="00925BEA"/>
    <w:rsid w:val="00930FB3"/>
    <w:rsid w:val="00934356"/>
    <w:rsid w:val="00934D81"/>
    <w:rsid w:val="00936838"/>
    <w:rsid w:val="009374BF"/>
    <w:rsid w:val="009402FE"/>
    <w:rsid w:val="00942022"/>
    <w:rsid w:val="00945ED9"/>
    <w:rsid w:val="009463C0"/>
    <w:rsid w:val="00951B3E"/>
    <w:rsid w:val="009606D9"/>
    <w:rsid w:val="009725B6"/>
    <w:rsid w:val="0097355E"/>
    <w:rsid w:val="00973EB1"/>
    <w:rsid w:val="009763D2"/>
    <w:rsid w:val="00981281"/>
    <w:rsid w:val="009825EF"/>
    <w:rsid w:val="00984E8E"/>
    <w:rsid w:val="00985720"/>
    <w:rsid w:val="00986CDB"/>
    <w:rsid w:val="00992F2B"/>
    <w:rsid w:val="00995679"/>
    <w:rsid w:val="00995E45"/>
    <w:rsid w:val="0099652B"/>
    <w:rsid w:val="00997FFB"/>
    <w:rsid w:val="009A02DE"/>
    <w:rsid w:val="009A1108"/>
    <w:rsid w:val="009A201A"/>
    <w:rsid w:val="009A322F"/>
    <w:rsid w:val="009A3888"/>
    <w:rsid w:val="009A5114"/>
    <w:rsid w:val="009B03CE"/>
    <w:rsid w:val="009B1C81"/>
    <w:rsid w:val="009B4235"/>
    <w:rsid w:val="009B67B6"/>
    <w:rsid w:val="009B6EBB"/>
    <w:rsid w:val="009C11F9"/>
    <w:rsid w:val="009C1A3D"/>
    <w:rsid w:val="009C28E6"/>
    <w:rsid w:val="009C296A"/>
    <w:rsid w:val="009C65C8"/>
    <w:rsid w:val="009C6A84"/>
    <w:rsid w:val="009C7EBC"/>
    <w:rsid w:val="009C7FB6"/>
    <w:rsid w:val="009D3292"/>
    <w:rsid w:val="009D3737"/>
    <w:rsid w:val="009D44A4"/>
    <w:rsid w:val="009D77B7"/>
    <w:rsid w:val="009E043D"/>
    <w:rsid w:val="009E07B0"/>
    <w:rsid w:val="009E4C38"/>
    <w:rsid w:val="009E7A23"/>
    <w:rsid w:val="009E7BA7"/>
    <w:rsid w:val="009F2D55"/>
    <w:rsid w:val="00A04C2B"/>
    <w:rsid w:val="00A06416"/>
    <w:rsid w:val="00A165F6"/>
    <w:rsid w:val="00A31CA2"/>
    <w:rsid w:val="00A36459"/>
    <w:rsid w:val="00A36BA1"/>
    <w:rsid w:val="00A4262E"/>
    <w:rsid w:val="00A46839"/>
    <w:rsid w:val="00A500BC"/>
    <w:rsid w:val="00A526B3"/>
    <w:rsid w:val="00A54C52"/>
    <w:rsid w:val="00A5599B"/>
    <w:rsid w:val="00A62889"/>
    <w:rsid w:val="00A63AE0"/>
    <w:rsid w:val="00A65393"/>
    <w:rsid w:val="00A672C6"/>
    <w:rsid w:val="00A715DF"/>
    <w:rsid w:val="00A76487"/>
    <w:rsid w:val="00A83798"/>
    <w:rsid w:val="00A83FE4"/>
    <w:rsid w:val="00A86BF7"/>
    <w:rsid w:val="00A87CF6"/>
    <w:rsid w:val="00A906B1"/>
    <w:rsid w:val="00AA6753"/>
    <w:rsid w:val="00AA70DC"/>
    <w:rsid w:val="00AB0CC7"/>
    <w:rsid w:val="00AB2879"/>
    <w:rsid w:val="00AB2DE7"/>
    <w:rsid w:val="00AC2036"/>
    <w:rsid w:val="00AC314D"/>
    <w:rsid w:val="00AC34E8"/>
    <w:rsid w:val="00AD3355"/>
    <w:rsid w:val="00AD6F92"/>
    <w:rsid w:val="00AE0BDF"/>
    <w:rsid w:val="00AE23BD"/>
    <w:rsid w:val="00AE2788"/>
    <w:rsid w:val="00AE6D02"/>
    <w:rsid w:val="00AE7063"/>
    <w:rsid w:val="00AE7BDC"/>
    <w:rsid w:val="00AF1CF3"/>
    <w:rsid w:val="00AF2799"/>
    <w:rsid w:val="00AF2ACE"/>
    <w:rsid w:val="00AF3447"/>
    <w:rsid w:val="00AF3B51"/>
    <w:rsid w:val="00B0264B"/>
    <w:rsid w:val="00B02BE6"/>
    <w:rsid w:val="00B03FE3"/>
    <w:rsid w:val="00B072C8"/>
    <w:rsid w:val="00B076D5"/>
    <w:rsid w:val="00B10113"/>
    <w:rsid w:val="00B11704"/>
    <w:rsid w:val="00B16261"/>
    <w:rsid w:val="00B325D6"/>
    <w:rsid w:val="00B32E6E"/>
    <w:rsid w:val="00B35F07"/>
    <w:rsid w:val="00B37FA6"/>
    <w:rsid w:val="00B4059C"/>
    <w:rsid w:val="00B446F0"/>
    <w:rsid w:val="00B51E41"/>
    <w:rsid w:val="00B52A66"/>
    <w:rsid w:val="00B554CA"/>
    <w:rsid w:val="00B572BF"/>
    <w:rsid w:val="00B5759D"/>
    <w:rsid w:val="00B67B66"/>
    <w:rsid w:val="00B75AB1"/>
    <w:rsid w:val="00B81DF9"/>
    <w:rsid w:val="00B86459"/>
    <w:rsid w:val="00B90096"/>
    <w:rsid w:val="00B914B7"/>
    <w:rsid w:val="00B916C0"/>
    <w:rsid w:val="00B929F5"/>
    <w:rsid w:val="00B93602"/>
    <w:rsid w:val="00B95033"/>
    <w:rsid w:val="00B9619A"/>
    <w:rsid w:val="00B96703"/>
    <w:rsid w:val="00BA0F61"/>
    <w:rsid w:val="00BA1B54"/>
    <w:rsid w:val="00BA3E53"/>
    <w:rsid w:val="00BA521F"/>
    <w:rsid w:val="00BA73C6"/>
    <w:rsid w:val="00BB1986"/>
    <w:rsid w:val="00BB1D31"/>
    <w:rsid w:val="00BC2BA6"/>
    <w:rsid w:val="00BC7275"/>
    <w:rsid w:val="00BD1E49"/>
    <w:rsid w:val="00BD5E6F"/>
    <w:rsid w:val="00BE1A34"/>
    <w:rsid w:val="00BE5671"/>
    <w:rsid w:val="00BE7956"/>
    <w:rsid w:val="00BE7F16"/>
    <w:rsid w:val="00BF0520"/>
    <w:rsid w:val="00BF3A5F"/>
    <w:rsid w:val="00BF3B6C"/>
    <w:rsid w:val="00BF734B"/>
    <w:rsid w:val="00C05231"/>
    <w:rsid w:val="00C11F1D"/>
    <w:rsid w:val="00C168E6"/>
    <w:rsid w:val="00C16EB2"/>
    <w:rsid w:val="00C31D6C"/>
    <w:rsid w:val="00C36FBE"/>
    <w:rsid w:val="00C374FE"/>
    <w:rsid w:val="00C41F6C"/>
    <w:rsid w:val="00C435B8"/>
    <w:rsid w:val="00C43A8E"/>
    <w:rsid w:val="00C45E35"/>
    <w:rsid w:val="00C501C8"/>
    <w:rsid w:val="00C51435"/>
    <w:rsid w:val="00C53EC0"/>
    <w:rsid w:val="00C66329"/>
    <w:rsid w:val="00C72DEB"/>
    <w:rsid w:val="00C72E73"/>
    <w:rsid w:val="00C74467"/>
    <w:rsid w:val="00C8075D"/>
    <w:rsid w:val="00C83CC4"/>
    <w:rsid w:val="00C93DDE"/>
    <w:rsid w:val="00CA1A8D"/>
    <w:rsid w:val="00CA1D99"/>
    <w:rsid w:val="00CA3A17"/>
    <w:rsid w:val="00CA4989"/>
    <w:rsid w:val="00CC2455"/>
    <w:rsid w:val="00CC7898"/>
    <w:rsid w:val="00CD2376"/>
    <w:rsid w:val="00CD406E"/>
    <w:rsid w:val="00CD5F5B"/>
    <w:rsid w:val="00CD6DAD"/>
    <w:rsid w:val="00CD7F46"/>
    <w:rsid w:val="00CE1A15"/>
    <w:rsid w:val="00CE22ED"/>
    <w:rsid w:val="00CE45A9"/>
    <w:rsid w:val="00D00356"/>
    <w:rsid w:val="00D03B56"/>
    <w:rsid w:val="00D2111F"/>
    <w:rsid w:val="00D25774"/>
    <w:rsid w:val="00D371D7"/>
    <w:rsid w:val="00D43029"/>
    <w:rsid w:val="00D517C9"/>
    <w:rsid w:val="00D52B76"/>
    <w:rsid w:val="00D55F82"/>
    <w:rsid w:val="00D67A1B"/>
    <w:rsid w:val="00D70F99"/>
    <w:rsid w:val="00D72800"/>
    <w:rsid w:val="00D73124"/>
    <w:rsid w:val="00D734FF"/>
    <w:rsid w:val="00D737A8"/>
    <w:rsid w:val="00D75701"/>
    <w:rsid w:val="00D80356"/>
    <w:rsid w:val="00D81B95"/>
    <w:rsid w:val="00D833F4"/>
    <w:rsid w:val="00D83A13"/>
    <w:rsid w:val="00D86508"/>
    <w:rsid w:val="00D8666A"/>
    <w:rsid w:val="00D930E3"/>
    <w:rsid w:val="00D95892"/>
    <w:rsid w:val="00DA05C5"/>
    <w:rsid w:val="00DA156A"/>
    <w:rsid w:val="00DA17D9"/>
    <w:rsid w:val="00DA3C77"/>
    <w:rsid w:val="00DB0074"/>
    <w:rsid w:val="00DB05B5"/>
    <w:rsid w:val="00DB13F4"/>
    <w:rsid w:val="00DB382F"/>
    <w:rsid w:val="00DB440A"/>
    <w:rsid w:val="00DB6042"/>
    <w:rsid w:val="00DB7A01"/>
    <w:rsid w:val="00DC098B"/>
    <w:rsid w:val="00DC227C"/>
    <w:rsid w:val="00DD2743"/>
    <w:rsid w:val="00DD323B"/>
    <w:rsid w:val="00DD532F"/>
    <w:rsid w:val="00DD580B"/>
    <w:rsid w:val="00DD7C80"/>
    <w:rsid w:val="00DE23ED"/>
    <w:rsid w:val="00DE5BEC"/>
    <w:rsid w:val="00DE6313"/>
    <w:rsid w:val="00DE6347"/>
    <w:rsid w:val="00DE70C3"/>
    <w:rsid w:val="00DE73F3"/>
    <w:rsid w:val="00DE7CB2"/>
    <w:rsid w:val="00DE7D70"/>
    <w:rsid w:val="00DF220E"/>
    <w:rsid w:val="00DF2435"/>
    <w:rsid w:val="00DF3DD4"/>
    <w:rsid w:val="00DF4ACD"/>
    <w:rsid w:val="00E00CBA"/>
    <w:rsid w:val="00E04542"/>
    <w:rsid w:val="00E06897"/>
    <w:rsid w:val="00E129B3"/>
    <w:rsid w:val="00E21FF3"/>
    <w:rsid w:val="00E240A4"/>
    <w:rsid w:val="00E30A65"/>
    <w:rsid w:val="00E33BB4"/>
    <w:rsid w:val="00E35ABC"/>
    <w:rsid w:val="00E41D46"/>
    <w:rsid w:val="00E43D1F"/>
    <w:rsid w:val="00E45EBC"/>
    <w:rsid w:val="00E46006"/>
    <w:rsid w:val="00E600B0"/>
    <w:rsid w:val="00E63973"/>
    <w:rsid w:val="00E63978"/>
    <w:rsid w:val="00E643BE"/>
    <w:rsid w:val="00E6474D"/>
    <w:rsid w:val="00E64D4E"/>
    <w:rsid w:val="00E73F1D"/>
    <w:rsid w:val="00E74DD0"/>
    <w:rsid w:val="00E753B7"/>
    <w:rsid w:val="00E846B6"/>
    <w:rsid w:val="00E856A4"/>
    <w:rsid w:val="00E95D7B"/>
    <w:rsid w:val="00EA38AD"/>
    <w:rsid w:val="00EB4AB6"/>
    <w:rsid w:val="00EB731F"/>
    <w:rsid w:val="00EB737E"/>
    <w:rsid w:val="00EC2612"/>
    <w:rsid w:val="00EC3AB4"/>
    <w:rsid w:val="00EC5038"/>
    <w:rsid w:val="00EC6E64"/>
    <w:rsid w:val="00ED1377"/>
    <w:rsid w:val="00ED1965"/>
    <w:rsid w:val="00ED23E7"/>
    <w:rsid w:val="00EE4EEA"/>
    <w:rsid w:val="00EE696D"/>
    <w:rsid w:val="00EF2E90"/>
    <w:rsid w:val="00EF40EF"/>
    <w:rsid w:val="00F002AE"/>
    <w:rsid w:val="00F01421"/>
    <w:rsid w:val="00F02CD0"/>
    <w:rsid w:val="00F06C00"/>
    <w:rsid w:val="00F075CC"/>
    <w:rsid w:val="00F10D99"/>
    <w:rsid w:val="00F11BD0"/>
    <w:rsid w:val="00F12F49"/>
    <w:rsid w:val="00F14966"/>
    <w:rsid w:val="00F1596D"/>
    <w:rsid w:val="00F20B43"/>
    <w:rsid w:val="00F216EA"/>
    <w:rsid w:val="00F2785A"/>
    <w:rsid w:val="00F32120"/>
    <w:rsid w:val="00F32C7A"/>
    <w:rsid w:val="00F34951"/>
    <w:rsid w:val="00F37F17"/>
    <w:rsid w:val="00F4050E"/>
    <w:rsid w:val="00F413B9"/>
    <w:rsid w:val="00F41BD4"/>
    <w:rsid w:val="00F41C52"/>
    <w:rsid w:val="00F42756"/>
    <w:rsid w:val="00F44B4E"/>
    <w:rsid w:val="00F47364"/>
    <w:rsid w:val="00F5004A"/>
    <w:rsid w:val="00F544FA"/>
    <w:rsid w:val="00F54F62"/>
    <w:rsid w:val="00F57857"/>
    <w:rsid w:val="00F57DCA"/>
    <w:rsid w:val="00F6278A"/>
    <w:rsid w:val="00F64094"/>
    <w:rsid w:val="00F728BA"/>
    <w:rsid w:val="00F72B63"/>
    <w:rsid w:val="00F72D9B"/>
    <w:rsid w:val="00F74754"/>
    <w:rsid w:val="00F800F9"/>
    <w:rsid w:val="00F82665"/>
    <w:rsid w:val="00F830B6"/>
    <w:rsid w:val="00F86098"/>
    <w:rsid w:val="00F86B5F"/>
    <w:rsid w:val="00F8740E"/>
    <w:rsid w:val="00F93064"/>
    <w:rsid w:val="00FB152C"/>
    <w:rsid w:val="00FB16E2"/>
    <w:rsid w:val="00FC2EA9"/>
    <w:rsid w:val="00FD5021"/>
    <w:rsid w:val="00FD5764"/>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4734F4"/>
  <w15:chartTrackingRefBased/>
  <w15:docId w15:val="{5387026F-B14C-440C-97F3-6D69DA7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header" w:uiPriority="99"/>
    <w:lsdException w:name="footer" w:uiPriority="99"/>
    <w:lsdException w:name="caption" w:semiHidden="1" w:unhideWhenUsed="1" w:qFormat="1"/>
    <w:lsdException w:name="List Number" w:uiPriority="99"/>
    <w:lsdException w:name="Title" w:qFormat="1"/>
    <w:lsdException w:name="Subtitle" w:qFormat="1"/>
    <w:lsdException w:name="Strong" w:uiPriority="22" w:qFormat="1"/>
    <w:lsdException w:name="Emphasis" w:uiPriority="99"/>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b/>
      <w:sz w:val="24"/>
      <w:lang w:eastAsia="en-US"/>
    </w:rPr>
  </w:style>
  <w:style w:type="character" w:customStyle="1" w:styleId="Heading2Char">
    <w:name w:val="Heading 2 Char"/>
    <w:link w:val="Heading2"/>
    <w:rsid w:val="00F32120"/>
    <w:rPr>
      <w:b/>
    </w:rPr>
  </w:style>
  <w:style w:type="character" w:customStyle="1" w:styleId="Heading3Char">
    <w:name w:val="Heading 3 Char"/>
    <w:link w:val="Heading3"/>
    <w:rsid w:val="00A526B3"/>
    <w:rPr>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semiHidden/>
    <w:rPr>
      <w:b/>
      <w:position w:val="6"/>
      <w:sz w:val="16"/>
    </w:rPr>
  </w:style>
  <w:style w:type="paragraph" w:styleId="FootnoteText">
    <w:name w:val="footnote text"/>
    <w:link w:val="FootnoteTextChar"/>
    <w:semiHidden/>
    <w:pPr>
      <w:keepNext/>
      <w:keepLines/>
      <w:tabs>
        <w:tab w:val="left" w:pos="454"/>
      </w:tabs>
      <w:overflowPunct w:val="0"/>
      <w:autoSpaceDE w:val="0"/>
      <w:autoSpaceDN w:val="0"/>
      <w:adjustRightInd w:val="0"/>
      <w:ind w:left="454" w:hanging="454"/>
      <w:jc w:val="both"/>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qFormat/>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rsid w:val="00A526B3"/>
    <w:rPr>
      <w:lang w:eastAsia="en-US"/>
    </w:rPr>
  </w:style>
  <w:style w:type="character" w:styleId="EndnoteReference">
    <w:name w:val="endnote reference"/>
    <w:rsid w:val="00A526B3"/>
    <w:rPr>
      <w:rFonts w:cs="Times New Roman"/>
      <w:vertAlign w:val="superscript"/>
    </w:rPr>
  </w:style>
  <w:style w:type="paragraph" w:styleId="Revision">
    <w:name w:val="Revision"/>
    <w:hidden/>
    <w:uiPriority w:val="66"/>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rsid w:val="00836C17"/>
    <w:rPr>
      <w:rFonts w:ascii="Tahoma" w:hAnsi="Tahoma" w:cs="Tahoma"/>
      <w:sz w:val="16"/>
      <w:szCs w:val="16"/>
    </w:rPr>
  </w:style>
  <w:style w:type="character" w:customStyle="1" w:styleId="BalloonTextChar">
    <w:name w:val="Balloon Text Char"/>
    <w:link w:val="BalloonText"/>
    <w:rsid w:val="00836C17"/>
    <w:rPr>
      <w:rFonts w:ascii="Tahoma" w:hAnsi="Tahoma" w:cs="Tahoma"/>
      <w:sz w:val="16"/>
      <w:szCs w:val="16"/>
      <w:lang w:eastAsia="en-US"/>
    </w:rPr>
  </w:style>
  <w:style w:type="character" w:styleId="FollowedHyperlink">
    <w:name w:val="FollowedHyperlink"/>
    <w:rsid w:val="008F321C"/>
    <w:rPr>
      <w:color w:val="800080"/>
      <w:u w:val="single"/>
    </w:rPr>
  </w:style>
  <w:style w:type="paragraph" w:styleId="CommentSubject">
    <w:name w:val="annotation subject"/>
    <w:basedOn w:val="CommentText"/>
    <w:next w:val="CommentText"/>
    <w:link w:val="CommentSubjectChar"/>
    <w:rsid w:val="00A62889"/>
    <w:rPr>
      <w:b/>
      <w:bCs/>
    </w:rPr>
  </w:style>
  <w:style w:type="character" w:customStyle="1" w:styleId="CommentSubjectChar">
    <w:name w:val="Comment Subject Char"/>
    <w:link w:val="CommentSubject"/>
    <w:rsid w:val="00A62889"/>
    <w:rPr>
      <w:rFonts w:ascii="Arial" w:hAnsi="Arial"/>
      <w:b/>
      <w:bCs/>
      <w:lang w:eastAsia="en-US"/>
    </w:rPr>
  </w:style>
  <w:style w:type="paragraph" w:customStyle="1" w:styleId="Tabletext">
    <w:name w:val="Table text"/>
    <w:basedOn w:val="Normal"/>
    <w:rsid w:val="00E46006"/>
    <w:pPr>
      <w:tabs>
        <w:tab w:val="clear" w:pos="1418"/>
        <w:tab w:val="clear" w:pos="4678"/>
        <w:tab w:val="clear" w:pos="5954"/>
        <w:tab w:val="clear" w:pos="7088"/>
      </w:tabs>
      <w:overflowPunct/>
      <w:autoSpaceDE/>
      <w:autoSpaceDN/>
      <w:adjustRightInd/>
      <w:spacing w:after="240"/>
      <w:textAlignment w:val="auto"/>
    </w:pPr>
    <w:rPr>
      <w:snapToGrid w:val="0"/>
    </w:rPr>
  </w:style>
  <w:style w:type="paragraph" w:customStyle="1" w:styleId="Revision1">
    <w:name w:val="Revision1"/>
    <w:hidden/>
    <w:uiPriority w:val="99"/>
    <w:semiHidden/>
    <w:rsid w:val="00E46006"/>
    <w:rPr>
      <w:snapToGrid w:val="0"/>
      <w:sz w:val="24"/>
      <w:lang w:eastAsia="en-US"/>
    </w:rPr>
  </w:style>
  <w:style w:type="paragraph" w:customStyle="1" w:styleId="BoldLeft">
    <w:name w:val="Bold Left"/>
    <w:basedOn w:val="Normal"/>
    <w:autoRedefine/>
    <w:qFormat/>
    <w:rsid w:val="00E46006"/>
    <w:pPr>
      <w:keepNext/>
      <w:keepLines/>
      <w:numPr>
        <w:numId w:val="9"/>
      </w:numPr>
      <w:spacing w:after="240"/>
      <w:jc w:val="left"/>
    </w:pPr>
    <w:rPr>
      <w:b/>
      <w:bCs/>
    </w:rPr>
  </w:style>
  <w:style w:type="paragraph" w:customStyle="1" w:styleId="B1Bold">
    <w:name w:val="B1 + Bold"/>
    <w:basedOn w:val="B1"/>
    <w:rsid w:val="00E46006"/>
    <w:pPr>
      <w:tabs>
        <w:tab w:val="clear" w:pos="567"/>
        <w:tab w:val="clear" w:pos="927"/>
        <w:tab w:val="num" w:pos="720"/>
        <w:tab w:val="left" w:pos="1418"/>
      </w:tabs>
      <w:ind w:left="714" w:hanging="357"/>
      <w:jc w:val="both"/>
    </w:pPr>
    <w:rPr>
      <w:bCs/>
    </w:rPr>
  </w:style>
  <w:style w:type="paragraph" w:customStyle="1" w:styleId="Default">
    <w:name w:val="Default"/>
    <w:rsid w:val="00E46006"/>
    <w:pPr>
      <w:autoSpaceDE w:val="0"/>
      <w:autoSpaceDN w:val="0"/>
      <w:adjustRightInd w:val="0"/>
    </w:pPr>
    <w:rPr>
      <w:color w:val="000000"/>
      <w:sz w:val="24"/>
      <w:szCs w:val="24"/>
      <w:lang w:val="en-US" w:eastAsia="en-US"/>
    </w:rPr>
  </w:style>
  <w:style w:type="paragraph" w:styleId="DocumentMap">
    <w:name w:val="Document Map"/>
    <w:basedOn w:val="Normal"/>
    <w:link w:val="DocumentMapChar"/>
    <w:rsid w:val="00E46006"/>
    <w:pPr>
      <w:tabs>
        <w:tab w:val="clear" w:pos="1418"/>
        <w:tab w:val="clear" w:pos="4678"/>
        <w:tab w:val="clear" w:pos="5954"/>
        <w:tab w:val="clear" w:pos="7088"/>
      </w:tabs>
      <w:overflowPunct/>
      <w:autoSpaceDE/>
      <w:autoSpaceDN/>
      <w:adjustRightInd/>
      <w:spacing w:after="240"/>
      <w:textAlignment w:val="auto"/>
    </w:pPr>
    <w:rPr>
      <w:rFonts w:ascii="Lucida Grande" w:hAnsi="Lucida Grande"/>
      <w:snapToGrid w:val="0"/>
      <w:sz w:val="24"/>
      <w:szCs w:val="24"/>
    </w:rPr>
  </w:style>
  <w:style w:type="character" w:customStyle="1" w:styleId="DocumentMapChar">
    <w:name w:val="Document Map Char"/>
    <w:basedOn w:val="DefaultParagraphFont"/>
    <w:link w:val="DocumentMap"/>
    <w:rsid w:val="00E46006"/>
    <w:rPr>
      <w:rFonts w:ascii="Lucida Grande" w:hAnsi="Lucida Grande"/>
      <w:snapToGrid w:val="0"/>
      <w:sz w:val="24"/>
      <w:szCs w:val="24"/>
      <w:lang w:eastAsia="en-US"/>
    </w:rPr>
  </w:style>
  <w:style w:type="paragraph" w:customStyle="1" w:styleId="TAL">
    <w:name w:val="TAL"/>
    <w:basedOn w:val="Normal"/>
    <w:rsid w:val="00E46006"/>
    <w:pPr>
      <w:keepNext/>
      <w:keepLines/>
      <w:tabs>
        <w:tab w:val="clear" w:pos="1418"/>
        <w:tab w:val="clear" w:pos="4678"/>
        <w:tab w:val="clear" w:pos="5954"/>
        <w:tab w:val="clear" w:pos="7088"/>
      </w:tabs>
      <w:jc w:val="left"/>
    </w:pPr>
    <w:rPr>
      <w:sz w:val="18"/>
    </w:rPr>
  </w:style>
  <w:style w:type="paragraph" w:customStyle="1" w:styleId="TAH">
    <w:name w:val="TAH"/>
    <w:basedOn w:val="TAC"/>
    <w:rsid w:val="00E46006"/>
    <w:rPr>
      <w:b/>
    </w:rPr>
  </w:style>
  <w:style w:type="paragraph" w:customStyle="1" w:styleId="TAC">
    <w:name w:val="TAC"/>
    <w:basedOn w:val="TAL"/>
    <w:rsid w:val="00E46006"/>
    <w:pPr>
      <w:jc w:val="center"/>
    </w:pPr>
  </w:style>
  <w:style w:type="paragraph" w:customStyle="1" w:styleId="B20">
    <w:name w:val="B2+"/>
    <w:basedOn w:val="B2"/>
    <w:rsid w:val="00E46006"/>
    <w:pPr>
      <w:keepNext w:val="0"/>
      <w:keepLines w:val="0"/>
      <w:numPr>
        <w:ilvl w:val="0"/>
        <w:numId w:val="10"/>
      </w:numPr>
      <w:tabs>
        <w:tab w:val="clear" w:pos="851"/>
      </w:tabs>
      <w:spacing w:after="180"/>
      <w:jc w:val="left"/>
    </w:pPr>
    <w:rPr>
      <w:rFonts w:ascii="Times New Roman" w:hAnsi="Times New Roman"/>
    </w:rPr>
  </w:style>
  <w:style w:type="paragraph" w:customStyle="1" w:styleId="TB1">
    <w:name w:val="TB1"/>
    <w:basedOn w:val="Normal"/>
    <w:qFormat/>
    <w:rsid w:val="00E46006"/>
    <w:pPr>
      <w:keepNext/>
      <w:keepLines/>
      <w:numPr>
        <w:numId w:val="11"/>
      </w:numPr>
      <w:tabs>
        <w:tab w:val="clear" w:pos="1418"/>
        <w:tab w:val="clear" w:pos="4678"/>
        <w:tab w:val="clear" w:pos="5954"/>
        <w:tab w:val="clear" w:pos="7088"/>
        <w:tab w:val="left" w:pos="683"/>
      </w:tabs>
      <w:jc w:val="left"/>
    </w:pPr>
    <w:rPr>
      <w:sz w:val="18"/>
    </w:rPr>
  </w:style>
  <w:style w:type="paragraph" w:customStyle="1" w:styleId="TH">
    <w:name w:val="TH"/>
    <w:basedOn w:val="Normal"/>
    <w:next w:val="Normal"/>
    <w:rsid w:val="00E46006"/>
    <w:pPr>
      <w:keepNext/>
      <w:keepLines/>
      <w:tabs>
        <w:tab w:val="clear" w:pos="1418"/>
        <w:tab w:val="clear" w:pos="4678"/>
        <w:tab w:val="clear" w:pos="5954"/>
        <w:tab w:val="clear" w:pos="7088"/>
      </w:tabs>
      <w:spacing w:before="60" w:after="180"/>
      <w:jc w:val="center"/>
    </w:pPr>
    <w:rPr>
      <w:b/>
    </w:rPr>
  </w:style>
  <w:style w:type="paragraph" w:styleId="List">
    <w:name w:val="List"/>
    <w:basedOn w:val="Normal"/>
    <w:rsid w:val="00E46006"/>
    <w:pPr>
      <w:tabs>
        <w:tab w:val="clear" w:pos="1418"/>
        <w:tab w:val="clear" w:pos="4678"/>
        <w:tab w:val="clear" w:pos="5954"/>
        <w:tab w:val="clear" w:pos="7088"/>
      </w:tabs>
      <w:overflowPunct/>
      <w:autoSpaceDE/>
      <w:autoSpaceDN/>
      <w:adjustRightInd/>
      <w:spacing w:after="240"/>
      <w:ind w:left="283" w:hanging="283"/>
      <w:contextualSpacing/>
      <w:textAlignment w:val="auto"/>
    </w:pPr>
    <w:rPr>
      <w:snapToGrid w:val="0"/>
    </w:rPr>
  </w:style>
  <w:style w:type="character" w:customStyle="1" w:styleId="B0Char">
    <w:name w:val="B0 Char"/>
    <w:link w:val="B0"/>
    <w:rsid w:val="00E46006"/>
    <w:rPr>
      <w:rFonts w:ascii="Arial" w:hAnsi="Arial"/>
      <w:lang w:eastAsia="en-US"/>
    </w:rPr>
  </w:style>
  <w:style w:type="character" w:customStyle="1" w:styleId="apple-converted-space">
    <w:name w:val="apple-converted-space"/>
    <w:rsid w:val="00E46006"/>
  </w:style>
  <w:style w:type="character" w:styleId="Strong">
    <w:name w:val="Strong"/>
    <w:basedOn w:val="DefaultParagraphFont"/>
    <w:uiPriority w:val="22"/>
    <w:qFormat/>
    <w:rsid w:val="00E46006"/>
    <w:rPr>
      <w:b/>
      <w:bCs/>
    </w:rPr>
  </w:style>
  <w:style w:type="table" w:customStyle="1" w:styleId="TableGridLight1">
    <w:name w:val="Table Grid Light1"/>
    <w:basedOn w:val="TableNormal"/>
    <w:uiPriority w:val="40"/>
    <w:rsid w:val="00E46006"/>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F">
    <w:name w:val="TF"/>
    <w:basedOn w:val="Normal"/>
    <w:rsid w:val="00052A10"/>
    <w:pPr>
      <w:keepLines/>
      <w:tabs>
        <w:tab w:val="clear" w:pos="1418"/>
        <w:tab w:val="clear" w:pos="4678"/>
        <w:tab w:val="clear" w:pos="5954"/>
        <w:tab w:val="clear" w:pos="7088"/>
      </w:tabs>
      <w:spacing w:after="240"/>
      <w:jc w:val="center"/>
    </w:pPr>
    <w:rPr>
      <w:b/>
    </w:rPr>
  </w:style>
  <w:style w:type="character" w:customStyle="1" w:styleId="None">
    <w:name w:val="None"/>
    <w:rsid w:val="00203A22"/>
  </w:style>
  <w:style w:type="paragraph" w:customStyle="1" w:styleId="Contenudetableau">
    <w:name w:val="Contenu de tableau"/>
    <w:basedOn w:val="Normal"/>
    <w:rsid w:val="0073613B"/>
    <w:pPr>
      <w:widowControl w:val="0"/>
      <w:suppressLineNumbers/>
      <w:tabs>
        <w:tab w:val="clear" w:pos="1418"/>
        <w:tab w:val="clear" w:pos="4678"/>
        <w:tab w:val="clear" w:pos="5954"/>
        <w:tab w:val="clear" w:pos="7088"/>
      </w:tabs>
      <w:suppressAutoHyphens/>
      <w:overflowPunct/>
      <w:autoSpaceDE/>
      <w:autoSpaceDN/>
      <w:adjustRightInd/>
      <w:jc w:val="left"/>
      <w:textAlignment w:val="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79999863">
      <w:bodyDiv w:val="1"/>
      <w:marLeft w:val="0"/>
      <w:marRight w:val="0"/>
      <w:marTop w:val="0"/>
      <w:marBottom w:val="0"/>
      <w:divBdr>
        <w:top w:val="none" w:sz="0" w:space="0" w:color="auto"/>
        <w:left w:val="none" w:sz="0" w:space="0" w:color="auto"/>
        <w:bottom w:val="none" w:sz="0" w:space="0" w:color="auto"/>
        <w:right w:val="none" w:sz="0" w:space="0" w:color="auto"/>
      </w:divBdr>
    </w:div>
    <w:div w:id="802190681">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072077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ip/smartcities/files/sip_final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joinup.ec.europa.eu/collection/rolling-plan-ict-standardisation/smart-cities-technologies-and-services-smart-and-efficient-energy-u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smartciti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396D-1339-4E0B-9B0E-670843E19F21}">
  <ds:schemaRefs>
    <ds:schemaRef ds:uri="http://schemas.microsoft.com/sharepoint/v3/contenttype/forms"/>
  </ds:schemaRefs>
</ds:datastoreItem>
</file>

<file path=customXml/itemProps2.xml><?xml version="1.0" encoding="utf-8"?>
<ds:datastoreItem xmlns:ds="http://schemas.openxmlformats.org/officeDocument/2006/customXml" ds:itemID="{5116EDA2-4823-4281-A1D6-2B893FB1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05FCA-9116-49EF-ACE9-0C1DD4048177}">
  <ds:schemaRefs>
    <ds:schemaRef ds:uri="http://schemas.microsoft.com/office/2006/metadata/longProperties"/>
  </ds:schemaRefs>
</ds:datastoreItem>
</file>

<file path=customXml/itemProps4.xml><?xml version="1.0" encoding="utf-8"?>
<ds:datastoreItem xmlns:ds="http://schemas.openxmlformats.org/officeDocument/2006/customXml" ds:itemID="{EDE7B2A3-923B-410B-A632-6886D9F0C5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99EE52-DC3A-44FD-A7DD-00C12EE8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5516</Words>
  <Characters>31717</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37159</CharactersWithSpaces>
  <SharedDoc>false</SharedDoc>
  <HLinks>
    <vt:vector size="12" baseType="variant">
      <vt:variant>
        <vt:i4>4063301</vt:i4>
      </vt:variant>
      <vt:variant>
        <vt:i4>9</vt:i4>
      </vt:variant>
      <vt:variant>
        <vt:i4>0</vt:i4>
      </vt:variant>
      <vt:variant>
        <vt:i4>5</vt:i4>
      </vt:variant>
      <vt:variant>
        <vt:lpwstr>mailto:gavin.craik@etsi.org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11</cp:revision>
  <cp:lastPrinted>2018-07-04T12:54:00Z</cp:lastPrinted>
  <dcterms:created xsi:type="dcterms:W3CDTF">2018-08-29T09:21:00Z</dcterms:created>
  <dcterms:modified xsi:type="dcterms:W3CDTF">2018-09-19T09:07:00Z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