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BEDC" w14:textId="03D17D7C" w:rsidR="00F2750E" w:rsidRPr="002468E5" w:rsidRDefault="006425DA" w:rsidP="002468E5">
      <w:pPr>
        <w:pStyle w:val="Title"/>
        <w:spacing w:after="120"/>
        <w:jc w:val="center"/>
      </w:pPr>
      <w:bookmarkStart w:id="0" w:name="_GoBack"/>
      <w:bookmarkEnd w:id="0"/>
      <w:r w:rsidRPr="002468E5">
        <w:t xml:space="preserve">Writing World Class Standards </w:t>
      </w:r>
      <w:r w:rsidR="0082090F" w:rsidRPr="002468E5">
        <w:t>Cheat Sheet</w:t>
      </w:r>
    </w:p>
    <w:p w14:paraId="621DC493" w14:textId="66296CF7" w:rsidR="00C50F00" w:rsidRDefault="00C50F00" w:rsidP="00C50F00">
      <w:pPr>
        <w:spacing w:after="0"/>
        <w:rPr>
          <w:color w:val="4472C4" w:themeColor="accent1"/>
          <w:sz w:val="32"/>
        </w:rPr>
      </w:pPr>
      <w:r>
        <w:rPr>
          <w:color w:val="4472C4" w:themeColor="accent1"/>
          <w:sz w:val="32"/>
        </w:rPr>
        <w:t>Provisions</w:t>
      </w:r>
    </w:p>
    <w:p w14:paraId="5124C43A" w14:textId="1224814B" w:rsidR="00C50F00" w:rsidRPr="00F8386B" w:rsidRDefault="00C50F00" w:rsidP="00DD03E0">
      <w:pPr>
        <w:spacing w:after="80"/>
        <w:jc w:val="center"/>
      </w:pPr>
      <w:proofErr w:type="gramStart"/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>May</w:t>
      </w:r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>,</w:t>
      </w:r>
      <w:proofErr w:type="gramEnd"/>
      <w:r w:rsidRPr="00BF1057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>Should</w:t>
      </w:r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 xml:space="preserve">, </w:t>
      </w:r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>Shall</w:t>
      </w:r>
      <w:r>
        <w:rPr>
          <w:b/>
          <w:i/>
          <w:color w:val="FF0000"/>
        </w:rPr>
        <w:t>"</w:t>
      </w:r>
      <w:r w:rsidRPr="00BF1057">
        <w:rPr>
          <w:b/>
          <w:i/>
          <w:color w:val="FF0000"/>
        </w:rPr>
        <w:t xml:space="preserve"> are the only way to make a provision</w:t>
      </w:r>
      <w:r w:rsidRPr="00BF1057">
        <w:rPr>
          <w:b/>
          <w:color w:val="FF0000"/>
        </w:rPr>
        <w:t>.</w:t>
      </w:r>
    </w:p>
    <w:p w14:paraId="4936F3AD" w14:textId="617820A8" w:rsidR="00C50F00" w:rsidRDefault="00C50F00" w:rsidP="00C50F00">
      <w:pPr>
        <w:pStyle w:val="ListParagraph"/>
        <w:numPr>
          <w:ilvl w:val="0"/>
          <w:numId w:val="2"/>
        </w:numPr>
        <w:spacing w:after="0"/>
      </w:pPr>
      <w:r w:rsidRPr="004E7ACF">
        <w:rPr>
          <w:b/>
        </w:rPr>
        <w:t>Shall</w:t>
      </w:r>
      <w:r>
        <w:t xml:space="preserve"> (not) – requirement (i.e. mandatory)</w:t>
      </w:r>
    </w:p>
    <w:p w14:paraId="1ADF61EB" w14:textId="77777777" w:rsidR="00C50F00" w:rsidRDefault="00C50F00" w:rsidP="00C50F00">
      <w:pPr>
        <w:pStyle w:val="ListParagraph"/>
        <w:numPr>
          <w:ilvl w:val="0"/>
          <w:numId w:val="2"/>
        </w:numPr>
      </w:pPr>
      <w:r w:rsidRPr="004E7ACF">
        <w:rPr>
          <w:b/>
        </w:rPr>
        <w:t>May</w:t>
      </w:r>
      <w:r>
        <w:t xml:space="preserve"> (need not) – permission (use to express optionality)</w:t>
      </w:r>
    </w:p>
    <w:p w14:paraId="2F6A44D5" w14:textId="2D65B56C" w:rsidR="00C50F00" w:rsidRDefault="00C50F00" w:rsidP="006916B8">
      <w:pPr>
        <w:pStyle w:val="ListParagraph"/>
        <w:numPr>
          <w:ilvl w:val="0"/>
          <w:numId w:val="2"/>
        </w:numPr>
        <w:spacing w:after="120"/>
      </w:pPr>
      <w:r w:rsidRPr="004E7ACF">
        <w:rPr>
          <w:b/>
        </w:rPr>
        <w:t>Should</w:t>
      </w:r>
      <w:r>
        <w:t xml:space="preserve"> (not) – recommendation</w:t>
      </w:r>
    </w:p>
    <w:p w14:paraId="31EDAAD4" w14:textId="77777777" w:rsidR="00DD03E0" w:rsidRDefault="00DD03E0" w:rsidP="00DD03E0">
      <w:pPr>
        <w:spacing w:after="0"/>
      </w:pPr>
    </w:p>
    <w:p w14:paraId="1318F707" w14:textId="471C137E" w:rsidR="00C50F00" w:rsidRPr="0040035A" w:rsidRDefault="00C50F00" w:rsidP="0040035A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"Shall" can ONLY be used in a normative element of a TS/EN. Should/May </w:t>
      </w:r>
      <w:r w:rsidR="0040035A">
        <w:t xml:space="preserve">are </w:t>
      </w:r>
      <w:r>
        <w:t>allowed in normative/informative parts.</w:t>
      </w:r>
    </w:p>
    <w:p w14:paraId="3FC9868F" w14:textId="76B18AFF" w:rsidR="00C50F00" w:rsidRPr="0040035A" w:rsidRDefault="00C50F00" w:rsidP="0040035A">
      <w:pPr>
        <w:pStyle w:val="ListParagraph"/>
        <w:numPr>
          <w:ilvl w:val="0"/>
          <w:numId w:val="6"/>
        </w:numPr>
        <w:spacing w:after="0"/>
        <w:rPr>
          <w:b/>
        </w:rPr>
      </w:pPr>
      <w:r w:rsidRPr="0040035A">
        <w:rPr>
          <w:b/>
        </w:rPr>
        <w:t>Never use "may not", use "need not"</w:t>
      </w:r>
    </w:p>
    <w:p w14:paraId="313BEC93" w14:textId="551BD1DF" w:rsidR="00C50F00" w:rsidRDefault="00C50F00" w:rsidP="0040035A">
      <w:pPr>
        <w:pStyle w:val="ListParagraph"/>
        <w:numPr>
          <w:ilvl w:val="0"/>
          <w:numId w:val="6"/>
        </w:numPr>
        <w:spacing w:after="0"/>
      </w:pPr>
      <w:r w:rsidRPr="0040035A">
        <w:rPr>
          <w:b/>
        </w:rPr>
        <w:t>Never use "Can" as an alternative to "may" or the other way around: "may" is for pe</w:t>
      </w:r>
      <w:r w:rsidR="004E1E79" w:rsidRPr="0040035A">
        <w:rPr>
          <w:b/>
        </w:rPr>
        <w:t>r</w:t>
      </w:r>
      <w:r w:rsidRPr="0040035A">
        <w:rPr>
          <w:b/>
        </w:rPr>
        <w:t>mission, "can" is for capability</w:t>
      </w:r>
      <w:r w:rsidR="00DD03E0">
        <w:rPr>
          <w:b/>
        </w:rPr>
        <w:t>/possibility</w:t>
      </w:r>
      <w:r w:rsidRPr="0040035A">
        <w:rPr>
          <w:b/>
        </w:rPr>
        <w:t>.</w:t>
      </w:r>
    </w:p>
    <w:p w14:paraId="62EF87F6" w14:textId="77777777" w:rsidR="00C50F00" w:rsidRDefault="00C50F00" w:rsidP="0040035A">
      <w:pPr>
        <w:pStyle w:val="ListParagraph"/>
        <w:numPr>
          <w:ilvl w:val="0"/>
          <w:numId w:val="6"/>
        </w:numPr>
        <w:spacing w:after="0"/>
      </w:pPr>
      <w:r>
        <w:t>Could/ Would are to be avoided.</w:t>
      </w:r>
    </w:p>
    <w:p w14:paraId="1A3FC9ED" w14:textId="345C267C" w:rsidR="00C50F00" w:rsidRDefault="00C50F00" w:rsidP="0040035A">
      <w:pPr>
        <w:pStyle w:val="ListParagraph"/>
        <w:numPr>
          <w:ilvl w:val="0"/>
          <w:numId w:val="6"/>
        </w:numPr>
        <w:spacing w:after="0"/>
      </w:pPr>
      <w:r w:rsidRPr="0040035A">
        <w:rPr>
          <w:b/>
        </w:rPr>
        <w:t>Never use hidden requirements</w:t>
      </w:r>
      <w:r>
        <w:t xml:space="preserve"> e.g. "must", "it is expected that", " is a necessity", "needs to", "has to". Replace all "must" words with "shall".</w:t>
      </w:r>
    </w:p>
    <w:p w14:paraId="6B75CB5E" w14:textId="77777777" w:rsidR="00F2750E" w:rsidRPr="00F2750E" w:rsidRDefault="00F2750E" w:rsidP="00DD03E0">
      <w:pPr>
        <w:spacing w:before="80" w:after="0"/>
        <w:rPr>
          <w:color w:val="4472C4" w:themeColor="accent1"/>
          <w:sz w:val="32"/>
        </w:rPr>
      </w:pPr>
      <w:r w:rsidRPr="00F2750E">
        <w:rPr>
          <w:color w:val="4472C4" w:themeColor="accent1"/>
          <w:sz w:val="32"/>
        </w:rPr>
        <w:t>Ambiguity</w:t>
      </w:r>
    </w:p>
    <w:p w14:paraId="2107C7DE" w14:textId="77777777" w:rsidR="0047229A" w:rsidRDefault="00F2750E" w:rsidP="009C5D1B">
      <w:pPr>
        <w:spacing w:after="0"/>
      </w:pPr>
      <w:r>
        <w:t>"A client can ask a device for its ID. It takes this and…."</w:t>
      </w:r>
    </w:p>
    <w:p w14:paraId="428B46B9" w14:textId="77777777" w:rsidR="00F2750E" w:rsidRDefault="00F2750E" w:rsidP="00DD03E0">
      <w:pPr>
        <w:pStyle w:val="ListParagraph"/>
        <w:numPr>
          <w:ilvl w:val="0"/>
          <w:numId w:val="3"/>
        </w:numPr>
        <w:spacing w:after="80"/>
      </w:pPr>
      <w:r>
        <w:t xml:space="preserve">What is </w:t>
      </w:r>
      <w:r w:rsidR="00EF216B">
        <w:t>"</w:t>
      </w:r>
      <w:r>
        <w:t>it</w:t>
      </w:r>
      <w:r w:rsidR="00EF216B">
        <w:t>"</w:t>
      </w:r>
      <w:r>
        <w:t xml:space="preserve"> and </w:t>
      </w:r>
      <w:r w:rsidR="00EF216B">
        <w:t>"</w:t>
      </w:r>
      <w:r>
        <w:t>this</w:t>
      </w:r>
      <w:r w:rsidR="00EF216B">
        <w:t>"</w:t>
      </w:r>
      <w:r>
        <w:t xml:space="preserve">? </w:t>
      </w:r>
      <w:r w:rsidR="00EF216B">
        <w:tab/>
      </w:r>
      <w:r>
        <w:t>The client takes this device? The device takes this ID? The client takes this ID?</w:t>
      </w:r>
    </w:p>
    <w:p w14:paraId="3ACEBABE" w14:textId="77777777" w:rsidR="004E7ACF" w:rsidRPr="004E7ACF" w:rsidRDefault="004E7ACF" w:rsidP="00A7282E">
      <w:pPr>
        <w:spacing w:after="0"/>
        <w:rPr>
          <w:color w:val="4472C4" w:themeColor="accent1"/>
          <w:sz w:val="32"/>
        </w:rPr>
      </w:pPr>
      <w:r w:rsidRPr="004E7ACF">
        <w:rPr>
          <w:color w:val="4472C4" w:themeColor="accent1"/>
          <w:sz w:val="32"/>
        </w:rPr>
        <w:t>Scope</w:t>
      </w:r>
      <w:r w:rsidR="00E121D0">
        <w:rPr>
          <w:color w:val="4472C4" w:themeColor="accent1"/>
          <w:sz w:val="32"/>
        </w:rPr>
        <w:t>, for</w:t>
      </w:r>
      <w:r w:rsidR="000C00B8">
        <w:rPr>
          <w:color w:val="4472C4" w:themeColor="accent1"/>
          <w:sz w:val="32"/>
        </w:rPr>
        <w:t>e</w:t>
      </w:r>
      <w:r w:rsidR="00E121D0">
        <w:rPr>
          <w:color w:val="4472C4" w:themeColor="accent1"/>
          <w:sz w:val="32"/>
        </w:rPr>
        <w:t>w</w:t>
      </w:r>
      <w:r w:rsidR="000C00B8">
        <w:rPr>
          <w:color w:val="4472C4" w:themeColor="accent1"/>
          <w:sz w:val="32"/>
        </w:rPr>
        <w:t>or</w:t>
      </w:r>
      <w:r w:rsidR="00E121D0">
        <w:rPr>
          <w:color w:val="4472C4" w:themeColor="accent1"/>
          <w:sz w:val="32"/>
        </w:rPr>
        <w:t>d</w:t>
      </w:r>
      <w:r w:rsidRPr="004E7ACF">
        <w:rPr>
          <w:color w:val="4472C4" w:themeColor="accent1"/>
          <w:sz w:val="32"/>
        </w:rPr>
        <w:t xml:space="preserve"> and introduction</w:t>
      </w:r>
    </w:p>
    <w:p w14:paraId="27DED31B" w14:textId="2057BB59" w:rsidR="004E7ACF" w:rsidRDefault="00C803BB" w:rsidP="00DD03E0">
      <w:pPr>
        <w:spacing w:after="80"/>
      </w:pPr>
      <w:r>
        <w:t>S</w:t>
      </w:r>
      <w:r w:rsidR="00245703">
        <w:t xml:space="preserve">cope </w:t>
      </w:r>
      <w:r w:rsidRPr="006916B8">
        <w:rPr>
          <w:rFonts w:cstheme="minorHAnsi"/>
          <w:b/>
        </w:rPr>
        <w:t>≠</w:t>
      </w:r>
      <w:r>
        <w:rPr>
          <w:rFonts w:cstheme="minorHAnsi"/>
        </w:rPr>
        <w:t xml:space="preserve"> </w:t>
      </w:r>
      <w:r>
        <w:t>I</w:t>
      </w:r>
      <w:r w:rsidR="00245703">
        <w:t xml:space="preserve">ntroduction. </w:t>
      </w:r>
      <w:r w:rsidR="004E1E79">
        <w:t xml:space="preserve">The scope </w:t>
      </w:r>
      <w:r w:rsidR="004E7ACF">
        <w:t>define</w:t>
      </w:r>
      <w:r>
        <w:t>s</w:t>
      </w:r>
      <w:r w:rsidR="004E7ACF">
        <w:t xml:space="preserve"> </w:t>
      </w:r>
      <w:r w:rsidR="006916B8">
        <w:rPr>
          <w:b/>
        </w:rPr>
        <w:t>All</w:t>
      </w:r>
      <w:r w:rsidR="004E7ACF" w:rsidRPr="006916B8">
        <w:rPr>
          <w:b/>
        </w:rPr>
        <w:t xml:space="preserve"> </w:t>
      </w:r>
      <w:r w:rsidR="004E7ACF">
        <w:t xml:space="preserve">exceptions. </w:t>
      </w:r>
      <w:r w:rsidR="004E7ACF" w:rsidRPr="004E7ACF">
        <w:rPr>
          <w:b/>
        </w:rPr>
        <w:t>Never use a requirement</w:t>
      </w:r>
      <w:r w:rsidR="004E7ACF">
        <w:rPr>
          <w:b/>
        </w:rPr>
        <w:t xml:space="preserve"> </w:t>
      </w:r>
      <w:r w:rsidR="00896308">
        <w:t>in the scope</w:t>
      </w:r>
      <w:r w:rsidR="000C00B8">
        <w:t>, foreword</w:t>
      </w:r>
      <w:r w:rsidR="00896308">
        <w:t xml:space="preserve"> or the introduction.</w:t>
      </w:r>
    </w:p>
    <w:p w14:paraId="2A55829C" w14:textId="77777777" w:rsidR="004E7ACF" w:rsidRPr="004E7ACF" w:rsidRDefault="004E7ACF" w:rsidP="00A7282E">
      <w:pPr>
        <w:spacing w:after="0"/>
        <w:rPr>
          <w:color w:val="4472C4" w:themeColor="accent1"/>
          <w:sz w:val="32"/>
        </w:rPr>
      </w:pPr>
      <w:r w:rsidRPr="004E7ACF">
        <w:rPr>
          <w:color w:val="4472C4" w:themeColor="accent1"/>
          <w:sz w:val="32"/>
        </w:rPr>
        <w:t>Examples and Notes</w:t>
      </w:r>
    </w:p>
    <w:p w14:paraId="2D805F4F" w14:textId="23C4F108" w:rsidR="00245703" w:rsidRDefault="00245703" w:rsidP="00245703">
      <w:pPr>
        <w:pStyle w:val="ListParagraph"/>
        <w:numPr>
          <w:ilvl w:val="0"/>
          <w:numId w:val="3"/>
        </w:numPr>
      </w:pPr>
      <w:r>
        <w:t>EXAMPLE and NOTE in cap</w:t>
      </w:r>
      <w:r w:rsidR="009075AA">
        <w:t>ital letter</w:t>
      </w:r>
      <w:r>
        <w:t>s.</w:t>
      </w:r>
    </w:p>
    <w:p w14:paraId="30D51BDD" w14:textId="77777777" w:rsidR="004E7ACF" w:rsidRDefault="00245703" w:rsidP="00245703">
      <w:pPr>
        <w:pStyle w:val="ListParagraph"/>
        <w:numPr>
          <w:ilvl w:val="0"/>
          <w:numId w:val="3"/>
        </w:numPr>
      </w:pPr>
      <w:r>
        <w:t>EXAMPLE: used in a separate paragraph never in text.</w:t>
      </w:r>
    </w:p>
    <w:p w14:paraId="7A9AAFAB" w14:textId="390576CE" w:rsidR="00245703" w:rsidRDefault="00245703" w:rsidP="00245703">
      <w:pPr>
        <w:pStyle w:val="ListParagraph"/>
        <w:numPr>
          <w:ilvl w:val="0"/>
          <w:numId w:val="3"/>
        </w:numPr>
      </w:pPr>
      <w:r>
        <w:t xml:space="preserve">Never use a </w:t>
      </w:r>
      <w:r w:rsidR="00C50F00">
        <w:t>provision (</w:t>
      </w:r>
      <w:r>
        <w:t>requirement</w:t>
      </w:r>
      <w:r w:rsidR="00C50F00">
        <w:t>, permission, recommendation)</w:t>
      </w:r>
      <w:r>
        <w:t xml:space="preserve"> in an example or a note (except in a table</w:t>
      </w:r>
      <w:r w:rsidR="00896308">
        <w:t xml:space="preserve"> or figure</w:t>
      </w:r>
      <w:r>
        <w:t>).</w:t>
      </w:r>
    </w:p>
    <w:p w14:paraId="1B5230C7" w14:textId="77777777" w:rsidR="00245703" w:rsidRDefault="00245703" w:rsidP="00DD03E0">
      <w:pPr>
        <w:pStyle w:val="ListParagraph"/>
        <w:numPr>
          <w:ilvl w:val="0"/>
          <w:numId w:val="3"/>
        </w:numPr>
        <w:spacing w:after="80"/>
      </w:pPr>
      <w:r>
        <w:t xml:space="preserve">The specification shall still make sense deleting all the examples and notes. </w:t>
      </w:r>
    </w:p>
    <w:p w14:paraId="3B260D4C" w14:textId="77777777" w:rsidR="00245703" w:rsidRPr="00245703" w:rsidRDefault="00245703" w:rsidP="00A7282E">
      <w:pPr>
        <w:spacing w:after="0"/>
        <w:rPr>
          <w:color w:val="4472C4" w:themeColor="accent1"/>
          <w:sz w:val="32"/>
        </w:rPr>
      </w:pPr>
      <w:r w:rsidRPr="00245703">
        <w:rPr>
          <w:color w:val="4472C4" w:themeColor="accent1"/>
          <w:sz w:val="32"/>
        </w:rPr>
        <w:t>Definitions</w:t>
      </w:r>
    </w:p>
    <w:p w14:paraId="3DD8EFA1" w14:textId="77777777" w:rsidR="00245703" w:rsidRDefault="00245703" w:rsidP="00DD03E0">
      <w:pPr>
        <w:spacing w:after="80"/>
      </w:pPr>
      <w:r>
        <w:t xml:space="preserve">Definition: </w:t>
      </w:r>
      <w:r>
        <w:tab/>
        <w:t xml:space="preserve">drop in replacement for the word used. Never use a wordy definition </w:t>
      </w:r>
      <w:r w:rsidRPr="00245703">
        <w:rPr>
          <w:b/>
        </w:rPr>
        <w:t>(maximum 1 sentence)</w:t>
      </w:r>
    </w:p>
    <w:p w14:paraId="466DD738" w14:textId="77777777" w:rsidR="00EF216B" w:rsidRPr="00EF216B" w:rsidRDefault="00EF216B" w:rsidP="006425DA">
      <w:pPr>
        <w:spacing w:after="0"/>
        <w:rPr>
          <w:color w:val="4472C4" w:themeColor="accent1"/>
          <w:sz w:val="32"/>
        </w:rPr>
      </w:pPr>
      <w:r w:rsidRPr="00EF216B">
        <w:rPr>
          <w:color w:val="4472C4" w:themeColor="accent1"/>
          <w:sz w:val="32"/>
        </w:rPr>
        <w:t>Formatting</w:t>
      </w:r>
    </w:p>
    <w:p w14:paraId="7EE6501D" w14:textId="77777777" w:rsidR="00245703" w:rsidRDefault="00EF216B" w:rsidP="00DD03E0">
      <w:pPr>
        <w:spacing w:after="80"/>
      </w:pPr>
      <w:r>
        <w:t xml:space="preserve">Never use smart quotes </w:t>
      </w:r>
      <w:r w:rsidRPr="00EF216B">
        <w:rPr>
          <w:highlight w:val="yellow"/>
        </w:rPr>
        <w:t>“</w:t>
      </w:r>
      <w:r>
        <w:t>xx</w:t>
      </w:r>
      <w:r w:rsidRPr="00EF216B">
        <w:rPr>
          <w:highlight w:val="yellow"/>
        </w:rPr>
        <w:t>”</w:t>
      </w:r>
      <w:r>
        <w:t xml:space="preserve"> but straight ones: </w:t>
      </w:r>
      <w:r w:rsidRPr="00EF216B">
        <w:rPr>
          <w:highlight w:val="yellow"/>
        </w:rPr>
        <w:t>"</w:t>
      </w:r>
      <w:r>
        <w:t>xx</w:t>
      </w:r>
      <w:r w:rsidRPr="00EF216B">
        <w:rPr>
          <w:highlight w:val="yellow"/>
        </w:rPr>
        <w:t>"</w:t>
      </w:r>
      <w:r>
        <w:t xml:space="preserve"> (CTRL+Z after hitting the quote key)</w:t>
      </w:r>
    </w:p>
    <w:p w14:paraId="649C6165" w14:textId="45D72284" w:rsidR="00EF216B" w:rsidRPr="0071155C" w:rsidRDefault="0071155C" w:rsidP="00A7282E">
      <w:pPr>
        <w:spacing w:after="0"/>
        <w:rPr>
          <w:color w:val="4472C4" w:themeColor="accent1"/>
          <w:sz w:val="32"/>
        </w:rPr>
      </w:pPr>
      <w:r w:rsidRPr="0071155C">
        <w:rPr>
          <w:color w:val="4472C4" w:themeColor="accent1"/>
          <w:sz w:val="32"/>
        </w:rPr>
        <w:t>Hanging Paragraph</w:t>
      </w:r>
      <w:r w:rsidR="0040035A">
        <w:rPr>
          <w:color w:val="4472C4" w:themeColor="accent1"/>
          <w:sz w:val="32"/>
        </w:rPr>
        <w:t xml:space="preserve"> (without the green part)</w:t>
      </w:r>
    </w:p>
    <w:p w14:paraId="5E513914" w14:textId="77777777" w:rsidR="009075AA" w:rsidRDefault="009075AA" w:rsidP="0040035A">
      <w:pPr>
        <w:pStyle w:val="Heading2"/>
        <w:ind w:firstLine="720"/>
      </w:pPr>
      <w:bookmarkStart w:id="1" w:name="_Toc212542746"/>
      <w:r>
        <w:t>6.1</w:t>
      </w:r>
      <w:r>
        <w:tab/>
        <w:t>Security mechanisms</w:t>
      </w:r>
      <w:bookmarkEnd w:id="1"/>
    </w:p>
    <w:p w14:paraId="6D07A8DA" w14:textId="110AA14C" w:rsidR="009075AA" w:rsidRPr="00896308" w:rsidRDefault="009075AA" w:rsidP="0040035A">
      <w:pPr>
        <w:pStyle w:val="Heading3"/>
        <w:ind w:firstLine="720"/>
        <w:rPr>
          <w:color w:val="00B050"/>
        </w:rPr>
      </w:pPr>
      <w:r w:rsidRPr="00896308">
        <w:rPr>
          <w:color w:val="00B050"/>
        </w:rPr>
        <w:t>6.1.</w:t>
      </w:r>
      <w:r w:rsidR="00C50F00">
        <w:rPr>
          <w:color w:val="00B050"/>
        </w:rPr>
        <w:t>1</w:t>
      </w:r>
      <w:r w:rsidRPr="00896308">
        <w:rPr>
          <w:color w:val="00B050"/>
        </w:rPr>
        <w:tab/>
        <w:t>General</w:t>
      </w:r>
    </w:p>
    <w:p w14:paraId="59E5A54F" w14:textId="77777777" w:rsidR="009075AA" w:rsidRDefault="009075AA" w:rsidP="0040035A">
      <w:pPr>
        <w:spacing w:after="0"/>
        <w:ind w:firstLine="720"/>
        <w:rPr>
          <w:rFonts w:ascii="Calibri" w:hAnsi="Calibri" w:cs="Calibri"/>
          <w:color w:val="FF0000"/>
        </w:rPr>
      </w:pPr>
      <w:r>
        <w:rPr>
          <w:color w:val="FF0000"/>
        </w:rPr>
        <w:t>Some of the security mechanisms fulfil more than one security requirement.</w:t>
      </w:r>
    </w:p>
    <w:p w14:paraId="5A03BA1D" w14:textId="62FFF600" w:rsidR="009075AA" w:rsidRDefault="009075AA" w:rsidP="00DD03E0">
      <w:pPr>
        <w:pStyle w:val="Heading3"/>
        <w:spacing w:after="80"/>
        <w:ind w:firstLine="720"/>
      </w:pPr>
      <w:bookmarkStart w:id="2" w:name="_Toc212541501"/>
      <w:bookmarkStart w:id="3" w:name="_Toc212541889"/>
      <w:bookmarkStart w:id="4" w:name="_Toc212541949"/>
      <w:bookmarkStart w:id="5" w:name="_Toc212542661"/>
      <w:bookmarkStart w:id="6" w:name="_Toc212542747"/>
      <w:bookmarkEnd w:id="2"/>
      <w:bookmarkEnd w:id="3"/>
      <w:bookmarkEnd w:id="4"/>
      <w:bookmarkEnd w:id="5"/>
      <w:r>
        <w:t>6.1.</w:t>
      </w:r>
      <w:r w:rsidR="00C50F00" w:rsidRPr="00DD03E0">
        <w:rPr>
          <w:color w:val="00B050"/>
        </w:rPr>
        <w:t>2</w:t>
      </w:r>
      <w:r w:rsidR="0040035A" w:rsidRPr="0040035A">
        <w:rPr>
          <w:color w:val="FF0000"/>
        </w:rPr>
        <w:t>(</w:t>
      </w:r>
      <w:r w:rsidR="0040035A" w:rsidRPr="0040035A">
        <w:rPr>
          <w:strike/>
          <w:color w:val="FF0000"/>
        </w:rPr>
        <w:t>1</w:t>
      </w:r>
      <w:r w:rsidR="0040035A" w:rsidRPr="0040035A">
        <w:rPr>
          <w:color w:val="FF0000"/>
        </w:rPr>
        <w:t>)</w:t>
      </w:r>
      <w:r>
        <w:tab/>
        <w:t>Authentication mechanisms</w:t>
      </w:r>
      <w:bookmarkEnd w:id="6"/>
    </w:p>
    <w:p w14:paraId="5C7CD6DD" w14:textId="2E895769" w:rsidR="004E1E79" w:rsidRDefault="004E1E79" w:rsidP="004E1E79">
      <w:pPr>
        <w:spacing w:after="0"/>
        <w:rPr>
          <w:color w:val="4472C4" w:themeColor="accent1"/>
          <w:sz w:val="32"/>
        </w:rPr>
      </w:pPr>
      <w:r w:rsidRPr="00F2750E">
        <w:rPr>
          <w:color w:val="4472C4" w:themeColor="accent1"/>
          <w:sz w:val="32"/>
        </w:rPr>
        <w:t>Unnecessary Wordiness</w:t>
      </w:r>
      <w:r>
        <w:rPr>
          <w:color w:val="4472C4" w:themeColor="accent1"/>
          <w:sz w:val="32"/>
        </w:rPr>
        <w:t xml:space="preserve"> (verbosity)</w:t>
      </w:r>
    </w:p>
    <w:p w14:paraId="3C4BD3DF" w14:textId="77777777" w:rsidR="004E1E79" w:rsidRDefault="004E1E79" w:rsidP="004E1E79">
      <w:pPr>
        <w:pStyle w:val="ListParagraph"/>
        <w:numPr>
          <w:ilvl w:val="0"/>
          <w:numId w:val="1"/>
        </w:numPr>
      </w:pPr>
      <w:r>
        <w:t>"in order to" =&gt; "to"</w:t>
      </w:r>
    </w:p>
    <w:p w14:paraId="440BE7F4" w14:textId="77777777" w:rsidR="004E1E79" w:rsidRDefault="004E1E79" w:rsidP="004E1E79">
      <w:pPr>
        <w:pStyle w:val="ListParagraph"/>
        <w:numPr>
          <w:ilvl w:val="0"/>
          <w:numId w:val="1"/>
        </w:numPr>
      </w:pPr>
      <w:r>
        <w:t>"In any case, …" =&gt; "…"</w:t>
      </w:r>
    </w:p>
    <w:p w14:paraId="17CE6298" w14:textId="77777777" w:rsidR="004E1E79" w:rsidRDefault="004E1E79" w:rsidP="004E1E79">
      <w:pPr>
        <w:pStyle w:val="ListParagraph"/>
        <w:numPr>
          <w:ilvl w:val="0"/>
          <w:numId w:val="1"/>
        </w:numPr>
      </w:pPr>
      <w:r>
        <w:t>"in order to be able to" =&gt; "to"</w:t>
      </w:r>
    </w:p>
    <w:p w14:paraId="63A92AB9" w14:textId="77777777" w:rsidR="004E1E79" w:rsidRDefault="004E1E79" w:rsidP="00DD03E0">
      <w:pPr>
        <w:pStyle w:val="ListParagraph"/>
        <w:numPr>
          <w:ilvl w:val="0"/>
          <w:numId w:val="1"/>
        </w:numPr>
        <w:spacing w:after="80"/>
      </w:pPr>
      <w:r>
        <w:t>"Indeed, from a network performance point of view, .." =&gt; "for network performance, …"</w:t>
      </w:r>
    </w:p>
    <w:p w14:paraId="5C07D262" w14:textId="5FEB87AA" w:rsidR="00EF216B" w:rsidRPr="00231FB9" w:rsidRDefault="00231FB9" w:rsidP="00231FB9">
      <w:pPr>
        <w:spacing w:before="160" w:after="0"/>
        <w:rPr>
          <w:color w:val="4472C4" w:themeColor="accent1"/>
          <w:sz w:val="32"/>
        </w:rPr>
      </w:pPr>
      <w:r w:rsidRPr="00231FB9">
        <w:rPr>
          <w:color w:val="4472C4" w:themeColor="accent1"/>
          <w:sz w:val="32"/>
        </w:rPr>
        <w:t>For Complete Guidance</w:t>
      </w:r>
      <w:r w:rsidR="0040035A">
        <w:rPr>
          <w:color w:val="4472C4" w:themeColor="accent1"/>
          <w:sz w:val="32"/>
        </w:rPr>
        <w:t xml:space="preserve"> Consult:</w:t>
      </w:r>
    </w:p>
    <w:p w14:paraId="331EF05D" w14:textId="11E49CF7" w:rsidR="0071155C" w:rsidRDefault="00D2325A" w:rsidP="0040035A">
      <w:pPr>
        <w:pStyle w:val="ListParagraph"/>
        <w:numPr>
          <w:ilvl w:val="0"/>
          <w:numId w:val="7"/>
        </w:numPr>
        <w:spacing w:after="0"/>
        <w:rPr>
          <w:rStyle w:val="Hyperlink"/>
        </w:rPr>
      </w:pPr>
      <w:hyperlink r:id="rId5" w:history="1">
        <w:r w:rsidR="00896308">
          <w:rPr>
            <w:rStyle w:val="Hyperlink"/>
          </w:rPr>
          <w:t>A Guide to</w:t>
        </w:r>
        <w:r w:rsidR="009075AA" w:rsidRPr="009075AA">
          <w:rPr>
            <w:rStyle w:val="Hyperlink"/>
          </w:rPr>
          <w:t xml:space="preserve"> Writing World Class Standards</w:t>
        </w:r>
      </w:hyperlink>
    </w:p>
    <w:p w14:paraId="61B62C1C" w14:textId="4C048792" w:rsidR="00C50F00" w:rsidRPr="00245703" w:rsidRDefault="00D2325A" w:rsidP="0040035A">
      <w:pPr>
        <w:pStyle w:val="ListParagraph"/>
        <w:numPr>
          <w:ilvl w:val="0"/>
          <w:numId w:val="7"/>
        </w:numPr>
      </w:pPr>
      <w:hyperlink r:id="rId6" w:history="1">
        <w:r w:rsidR="00C50F00" w:rsidRPr="0040035A">
          <w:rPr>
            <w:rStyle w:val="Hyperlink"/>
            <w:rFonts w:ascii="Verdana" w:hAnsi="Verdana"/>
            <w:sz w:val="18"/>
            <w:szCs w:val="18"/>
          </w:rPr>
          <w:t>ETSI Drafting Rules (EDRs)</w:t>
        </w:r>
      </w:hyperlink>
    </w:p>
    <w:sectPr w:rsidR="00C50F00" w:rsidRPr="00245703" w:rsidSect="00AB4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10C"/>
    <w:multiLevelType w:val="hybridMultilevel"/>
    <w:tmpl w:val="D044518E"/>
    <w:lvl w:ilvl="0" w:tplc="311C4E4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525B"/>
    <w:multiLevelType w:val="hybridMultilevel"/>
    <w:tmpl w:val="62EEAAD8"/>
    <w:lvl w:ilvl="0" w:tplc="C188357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581A48"/>
    <w:multiLevelType w:val="hybridMultilevel"/>
    <w:tmpl w:val="FD740D1A"/>
    <w:lvl w:ilvl="0" w:tplc="311C4E4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12C5A"/>
    <w:multiLevelType w:val="hybridMultilevel"/>
    <w:tmpl w:val="7BB07E8A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5D7054C4"/>
    <w:multiLevelType w:val="hybridMultilevel"/>
    <w:tmpl w:val="30F6A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13DE"/>
    <w:multiLevelType w:val="hybridMultilevel"/>
    <w:tmpl w:val="9D123382"/>
    <w:lvl w:ilvl="0" w:tplc="311C4E4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140CCE"/>
    <w:multiLevelType w:val="hybridMultilevel"/>
    <w:tmpl w:val="E87EDA8A"/>
    <w:lvl w:ilvl="0" w:tplc="0EB0C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C1"/>
    <w:rsid w:val="000C00B8"/>
    <w:rsid w:val="001B59B0"/>
    <w:rsid w:val="00231FB9"/>
    <w:rsid w:val="00245703"/>
    <w:rsid w:val="002468E5"/>
    <w:rsid w:val="00397B33"/>
    <w:rsid w:val="0040035A"/>
    <w:rsid w:val="004062A5"/>
    <w:rsid w:val="0047229A"/>
    <w:rsid w:val="004E1E79"/>
    <w:rsid w:val="004E7ACF"/>
    <w:rsid w:val="006425DA"/>
    <w:rsid w:val="006916B8"/>
    <w:rsid w:val="00707E9F"/>
    <w:rsid w:val="0071155C"/>
    <w:rsid w:val="007A6043"/>
    <w:rsid w:val="007C0373"/>
    <w:rsid w:val="0082090F"/>
    <w:rsid w:val="00827BCE"/>
    <w:rsid w:val="00896308"/>
    <w:rsid w:val="008B6D6C"/>
    <w:rsid w:val="008D0979"/>
    <w:rsid w:val="008D7B68"/>
    <w:rsid w:val="009075AA"/>
    <w:rsid w:val="00945BE5"/>
    <w:rsid w:val="00991FAC"/>
    <w:rsid w:val="009A3642"/>
    <w:rsid w:val="009C5D1B"/>
    <w:rsid w:val="00A7282E"/>
    <w:rsid w:val="00AB4E6B"/>
    <w:rsid w:val="00BF1057"/>
    <w:rsid w:val="00C424CC"/>
    <w:rsid w:val="00C50F00"/>
    <w:rsid w:val="00C803BB"/>
    <w:rsid w:val="00D2325A"/>
    <w:rsid w:val="00DD03E0"/>
    <w:rsid w:val="00E121D0"/>
    <w:rsid w:val="00ED20C1"/>
    <w:rsid w:val="00EE4463"/>
    <w:rsid w:val="00EF216B"/>
    <w:rsid w:val="00F2750E"/>
    <w:rsid w:val="00F8386B"/>
    <w:rsid w:val="00FC3491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A0D1"/>
  <w15:chartTrackingRefBased/>
  <w15:docId w15:val="{A0E18E39-09FF-4A42-A242-554C248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7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075AA"/>
    <w:pPr>
      <w:spacing w:after="0" w:line="240" w:lineRule="auto"/>
      <w:outlineLvl w:val="1"/>
    </w:pPr>
    <w:rPr>
      <w:rFonts w:ascii="Calibri" w:hAnsi="Calibri" w:cs="Calibri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9075AA"/>
    <w:pPr>
      <w:spacing w:after="0" w:line="240" w:lineRule="auto"/>
      <w:outlineLvl w:val="2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75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7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5A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75AA"/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75AA"/>
    <w:rPr>
      <w:rFonts w:ascii="Calibri" w:hAnsi="Calibri" w:cs="Calibri"/>
      <w:lang w:eastAsia="en-GB"/>
    </w:rPr>
  </w:style>
  <w:style w:type="paragraph" w:customStyle="1" w:styleId="tdoc-header">
    <w:name w:val="tdoc-header"/>
    <w:rsid w:val="006425DA"/>
    <w:pPr>
      <w:spacing w:after="0" w:line="240" w:lineRule="auto"/>
    </w:pPr>
    <w:rPr>
      <w:rFonts w:ascii="Arial" w:eastAsia="MS Mincho" w:hAnsi="Arial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3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1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tsi.org/Portals/0/TBpages/edithelp/Docs/40_directives_apr_2019_part2%20(EDR).pdf" TargetMode="External"/><Relationship Id="rId5" Type="http://schemas.openxmlformats.org/officeDocument/2006/relationships/hyperlink" Target="https://portal.etsi.org/Portals/0/TBpages/edithelp/Docs/AGuideToWritingWorldClassStandards.pdf?ver=2014-05-19-124137-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6.1	Security mechanisms</vt:lpstr>
      <vt:lpstr>        6.1.1	General</vt:lpstr>
      <vt:lpstr>        6.1.2(1)	Authentication mechanisms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Mkinsi</dc:creator>
  <cp:keywords/>
  <dc:description/>
  <cp:lastModifiedBy>Hakim Mkinsi</cp:lastModifiedBy>
  <cp:revision>2</cp:revision>
  <dcterms:created xsi:type="dcterms:W3CDTF">2020-02-20T14:03:00Z</dcterms:created>
  <dcterms:modified xsi:type="dcterms:W3CDTF">2020-02-20T14:03:00Z</dcterms:modified>
</cp:coreProperties>
</file>