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864"/>
      </w:tblGrid>
      <w:tr w:rsidR="0007181A" w:rsidRPr="00A04C2B" w14:paraId="32C80D15" w14:textId="77777777" w:rsidTr="00773364">
        <w:tc>
          <w:tcPr>
            <w:tcW w:w="3181" w:type="dxa"/>
            <w:vMerge w:val="restart"/>
            <w:vAlign w:val="center"/>
          </w:tcPr>
          <w:p w14:paraId="62C7A05B" w14:textId="5FFC4EC0" w:rsidR="0007181A" w:rsidRPr="00A04C2B" w:rsidRDefault="00F34951" w:rsidP="002B3C3B">
            <w:r w:rsidRPr="00A04C2B">
              <w:rPr>
                <w:noProof/>
                <w:lang w:eastAsia="en-GB"/>
              </w:rPr>
              <w:drawing>
                <wp:inline distT="0" distB="0" distL="0" distR="0" wp14:anchorId="12D64447" wp14:editId="678B244B">
                  <wp:extent cx="2247900" cy="723900"/>
                  <wp:effectExtent l="0" t="0" r="0" b="0"/>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6439" w:type="dxa"/>
            <w:vAlign w:val="center"/>
          </w:tcPr>
          <w:p w14:paraId="1F5FA19F" w14:textId="0742E729" w:rsidR="0007181A" w:rsidRPr="00A04C2B" w:rsidRDefault="0007181A" w:rsidP="009B1C81">
            <w:pPr>
              <w:pStyle w:val="Header"/>
            </w:pPr>
            <w:proofErr w:type="spellStart"/>
            <w:r w:rsidRPr="00A04C2B">
              <w:t>ToR</w:t>
            </w:r>
            <w:proofErr w:type="spellEnd"/>
            <w:r w:rsidRPr="00A04C2B">
              <w:t xml:space="preserve"> STF </w:t>
            </w:r>
            <w:r w:rsidR="00986CDB">
              <w:t>CQ</w:t>
            </w:r>
            <w:r w:rsidR="00635BBD" w:rsidRPr="00A04C2B">
              <w:t xml:space="preserve"> </w:t>
            </w:r>
            <w:r w:rsidRPr="00A04C2B">
              <w:t>(</w:t>
            </w:r>
            <w:r w:rsidR="00986CDB">
              <w:t>ESI</w:t>
            </w:r>
            <w:r w:rsidRPr="00A04C2B">
              <w:t>)</w:t>
            </w:r>
          </w:p>
        </w:tc>
      </w:tr>
      <w:tr w:rsidR="0007181A" w:rsidRPr="00A04C2B" w14:paraId="76D8F0B7" w14:textId="77777777" w:rsidTr="00773364">
        <w:tc>
          <w:tcPr>
            <w:tcW w:w="3181" w:type="dxa"/>
            <w:vMerge/>
            <w:vAlign w:val="center"/>
          </w:tcPr>
          <w:p w14:paraId="3FAA9A92" w14:textId="77777777" w:rsidR="0007181A" w:rsidRPr="00A04C2B" w:rsidRDefault="0007181A" w:rsidP="00094E3E">
            <w:pPr>
              <w:pStyle w:val="Header"/>
            </w:pPr>
          </w:p>
        </w:tc>
        <w:tc>
          <w:tcPr>
            <w:tcW w:w="6439" w:type="dxa"/>
            <w:vAlign w:val="center"/>
          </w:tcPr>
          <w:p w14:paraId="0EF8B8DF" w14:textId="5CEBEAF3" w:rsidR="0007181A" w:rsidRPr="00A04C2B" w:rsidRDefault="0007181A" w:rsidP="00F86B5F">
            <w:pPr>
              <w:jc w:val="right"/>
            </w:pPr>
            <w:r w:rsidRPr="00A04C2B">
              <w:t xml:space="preserve">Version: </w:t>
            </w:r>
            <w:r w:rsidR="005F1768" w:rsidRPr="00A04C2B">
              <w:t>0.</w:t>
            </w:r>
            <w:r w:rsidR="00052A10">
              <w:t>2</w:t>
            </w:r>
          </w:p>
        </w:tc>
      </w:tr>
      <w:tr w:rsidR="0007181A" w:rsidRPr="00486632" w14:paraId="30117460" w14:textId="77777777" w:rsidTr="00773364">
        <w:tc>
          <w:tcPr>
            <w:tcW w:w="3181" w:type="dxa"/>
            <w:vMerge/>
            <w:vAlign w:val="center"/>
          </w:tcPr>
          <w:p w14:paraId="7B979509" w14:textId="77777777" w:rsidR="0007181A" w:rsidRPr="00486632" w:rsidRDefault="0007181A" w:rsidP="00094E3E">
            <w:pPr>
              <w:pStyle w:val="Header"/>
            </w:pPr>
          </w:p>
        </w:tc>
        <w:tc>
          <w:tcPr>
            <w:tcW w:w="6439" w:type="dxa"/>
            <w:vAlign w:val="center"/>
          </w:tcPr>
          <w:p w14:paraId="013D8484" w14:textId="2D893B40" w:rsidR="0007181A" w:rsidRPr="00DE23ED" w:rsidRDefault="0007181A" w:rsidP="00CD406E">
            <w:pPr>
              <w:jc w:val="right"/>
            </w:pPr>
            <w:r w:rsidRPr="00DE23ED">
              <w:t>Author:</w:t>
            </w:r>
            <w:r w:rsidR="00DD580B" w:rsidRPr="00DE23ED">
              <w:t xml:space="preserve"> </w:t>
            </w:r>
            <w:r w:rsidR="009A02DE">
              <w:t>TC ESI -</w:t>
            </w:r>
            <w:r w:rsidR="0034301C" w:rsidRPr="00DE23ED">
              <w:t xml:space="preserve"> EC/EFTA</w:t>
            </w:r>
            <w:r w:rsidR="00DD580B" w:rsidRPr="00DE23ED">
              <w:t xml:space="preserve"> </w:t>
            </w:r>
            <w:r w:rsidRPr="00DE23ED">
              <w:t>– Date:</w:t>
            </w:r>
            <w:r w:rsidR="00DE23ED" w:rsidRPr="00DE23ED">
              <w:t>30 May 2018</w:t>
            </w:r>
            <w:r w:rsidR="009B1C81" w:rsidRPr="00DE23ED">
              <w:t xml:space="preserve"> </w:t>
            </w:r>
          </w:p>
        </w:tc>
      </w:tr>
      <w:tr w:rsidR="0007181A" w:rsidRPr="00486632" w14:paraId="40A24248" w14:textId="77777777" w:rsidTr="00773364">
        <w:tc>
          <w:tcPr>
            <w:tcW w:w="3181" w:type="dxa"/>
            <w:vMerge/>
            <w:vAlign w:val="center"/>
          </w:tcPr>
          <w:p w14:paraId="28AA581A" w14:textId="77777777" w:rsidR="0007181A" w:rsidRPr="00486632" w:rsidRDefault="0007181A" w:rsidP="00094E3E">
            <w:pPr>
              <w:pStyle w:val="Header"/>
            </w:pPr>
          </w:p>
        </w:tc>
        <w:tc>
          <w:tcPr>
            <w:tcW w:w="6439" w:type="dxa"/>
            <w:vAlign w:val="center"/>
          </w:tcPr>
          <w:p w14:paraId="2A029887" w14:textId="462FC9EA" w:rsidR="0007181A" w:rsidRPr="00E30A65" w:rsidRDefault="0007181A" w:rsidP="00986CDB">
            <w:pPr>
              <w:jc w:val="right"/>
            </w:pPr>
            <w:r w:rsidRPr="00486632">
              <w:t>Last updated by:</w:t>
            </w:r>
            <w:r w:rsidR="00FD5785" w:rsidRPr="00486632">
              <w:t xml:space="preserve"> </w:t>
            </w:r>
            <w:r w:rsidR="00DE23ED">
              <w:t>Youssouf Sakho</w:t>
            </w:r>
            <w:r w:rsidR="006F582B" w:rsidRPr="00486632">
              <w:t xml:space="preserve"> – Date:</w:t>
            </w:r>
            <w:r w:rsidR="009B1C81" w:rsidRPr="00486632">
              <w:t xml:space="preserve"> </w:t>
            </w:r>
            <w:r w:rsidR="00052A10">
              <w:t xml:space="preserve">23 July </w:t>
            </w:r>
            <w:r w:rsidR="00986CDB">
              <w:t>2018</w:t>
            </w:r>
            <w:r w:rsidR="006A3D4C" w:rsidRPr="00E30A65">
              <w:t xml:space="preserve">  </w:t>
            </w:r>
          </w:p>
        </w:tc>
      </w:tr>
      <w:tr w:rsidR="0007181A" w:rsidRPr="00A04C2B" w14:paraId="49026742" w14:textId="77777777" w:rsidTr="00773364">
        <w:tc>
          <w:tcPr>
            <w:tcW w:w="3181" w:type="dxa"/>
            <w:vMerge/>
            <w:vAlign w:val="center"/>
          </w:tcPr>
          <w:p w14:paraId="2BD58E13" w14:textId="77777777" w:rsidR="0007181A" w:rsidRPr="00486632" w:rsidRDefault="0007181A" w:rsidP="00094E3E">
            <w:pPr>
              <w:pStyle w:val="Header"/>
            </w:pPr>
          </w:p>
        </w:tc>
        <w:tc>
          <w:tcPr>
            <w:tcW w:w="6439" w:type="dxa"/>
            <w:vAlign w:val="center"/>
          </w:tcPr>
          <w:p w14:paraId="3AB83CD4" w14:textId="7C0F386B" w:rsidR="0007181A" w:rsidRPr="00A04C2B" w:rsidRDefault="0007181A" w:rsidP="009F2D55">
            <w:pPr>
              <w:jc w:val="right"/>
            </w:pPr>
            <w:r w:rsidRPr="00A04C2B">
              <w:t xml:space="preserve">page </w:t>
            </w:r>
            <w:r w:rsidRPr="00A04C2B">
              <w:fldChar w:fldCharType="begin"/>
            </w:r>
            <w:r w:rsidRPr="00A04C2B">
              <w:instrText xml:space="preserve"> PAGE   \* MERGEFORMAT </w:instrText>
            </w:r>
            <w:r w:rsidRPr="00A04C2B">
              <w:fldChar w:fldCharType="separate"/>
            </w:r>
            <w:r w:rsidR="006A5009">
              <w:rPr>
                <w:noProof/>
              </w:rPr>
              <w:t>1</w:t>
            </w:r>
            <w:r w:rsidRPr="00A04C2B">
              <w:fldChar w:fldCharType="end"/>
            </w:r>
            <w:r w:rsidRPr="00A04C2B">
              <w:t xml:space="preserve"> of </w:t>
            </w:r>
            <w:fldSimple w:instr=" NUMPAGES   \* MERGEFORMAT ">
              <w:r w:rsidR="006A5009">
                <w:rPr>
                  <w:noProof/>
                </w:rPr>
                <w:t>21</w:t>
              </w:r>
            </w:fldSimple>
          </w:p>
        </w:tc>
      </w:tr>
    </w:tbl>
    <w:p w14:paraId="7C402B6F" w14:textId="77777777" w:rsidR="0007181A" w:rsidRPr="00A04C2B" w:rsidRDefault="0007181A"/>
    <w:p w14:paraId="44CF4712" w14:textId="77777777" w:rsidR="0007181A" w:rsidRPr="00A04C2B" w:rsidRDefault="0007181A" w:rsidP="00B95033"/>
    <w:p w14:paraId="5EE66038" w14:textId="77777777" w:rsidR="001C0CBC" w:rsidRPr="00A04C2B" w:rsidRDefault="0007181A" w:rsidP="00A5599B">
      <w:pPr>
        <w:pStyle w:val="ZT"/>
      </w:pPr>
      <w:r w:rsidRPr="00A04C2B">
        <w:t xml:space="preserve">Terms of Reference </w:t>
      </w:r>
      <w:r w:rsidR="00A5599B" w:rsidRPr="00A04C2B">
        <w:t xml:space="preserve">- </w:t>
      </w:r>
      <w:r w:rsidRPr="00A04C2B">
        <w:t>Specia</w:t>
      </w:r>
      <w:r w:rsidR="001C0CBC" w:rsidRPr="00A04C2B">
        <w:t>list Task Force</w:t>
      </w:r>
    </w:p>
    <w:p w14:paraId="470626A6" w14:textId="04E4E498" w:rsidR="001C0CBC" w:rsidRDefault="0007181A" w:rsidP="00A5599B">
      <w:pPr>
        <w:pStyle w:val="ZT"/>
      </w:pPr>
      <w:r w:rsidRPr="00A04C2B">
        <w:t xml:space="preserve">STF </w:t>
      </w:r>
      <w:r w:rsidR="00986CDB">
        <w:t>CQ (ESI)</w:t>
      </w:r>
    </w:p>
    <w:p w14:paraId="29D0443F" w14:textId="35D6E015" w:rsidR="00986CDB" w:rsidRPr="00A04C2B" w:rsidRDefault="00986CDB" w:rsidP="00A5599B">
      <w:pPr>
        <w:pStyle w:val="ZT"/>
      </w:pPr>
      <w:r w:rsidRPr="00BA46A6">
        <w:t>Standards for machine</w:t>
      </w:r>
      <w:r>
        <w:t>-</w:t>
      </w:r>
      <w:r w:rsidRPr="00BA46A6">
        <w:t>processable signature policy formats and the global acceptance of European Trust Services</w:t>
      </w:r>
    </w:p>
    <w:p w14:paraId="3B10B06C" w14:textId="77777777" w:rsidR="006718C2" w:rsidRPr="00A04C2B" w:rsidRDefault="006718C2" w:rsidP="006718C2"/>
    <w:p w14:paraId="0A4CF16F" w14:textId="77777777" w:rsidR="0007181A" w:rsidRPr="00A04C2B" w:rsidRDefault="006718C2" w:rsidP="00094E3E">
      <w:pPr>
        <w:pStyle w:val="B0Bold"/>
      </w:pPr>
      <w:r w:rsidRPr="00A04C2B">
        <w:t>Summary information</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8286"/>
      </w:tblGrid>
      <w:tr w:rsidR="000B331A" w:rsidRPr="00486632" w14:paraId="1F5E92CF" w14:textId="77777777" w:rsidTr="00BB1986">
        <w:trPr>
          <w:trHeight w:val="1363"/>
        </w:trPr>
        <w:tc>
          <w:tcPr>
            <w:tcW w:w="1392" w:type="dxa"/>
            <w:tcBorders>
              <w:top w:val="single" w:sz="4" w:space="0" w:color="auto"/>
              <w:left w:val="single" w:sz="4" w:space="0" w:color="auto"/>
              <w:bottom w:val="single" w:sz="4" w:space="0" w:color="auto"/>
              <w:right w:val="single" w:sz="4" w:space="0" w:color="auto"/>
            </w:tcBorders>
            <w:tcMar>
              <w:top w:w="28" w:type="dxa"/>
              <w:bottom w:w="28" w:type="dxa"/>
            </w:tcMar>
          </w:tcPr>
          <w:p w14:paraId="32B3D723" w14:textId="77777777" w:rsidR="000B331A" w:rsidRPr="00A04C2B" w:rsidRDefault="000B331A" w:rsidP="002465C1">
            <w:pPr>
              <w:jc w:val="left"/>
            </w:pPr>
            <w:r w:rsidRPr="00A04C2B">
              <w:t>Funding</w:t>
            </w:r>
          </w:p>
        </w:tc>
        <w:tc>
          <w:tcPr>
            <w:tcW w:w="8286" w:type="dxa"/>
            <w:tcBorders>
              <w:top w:val="single" w:sz="4" w:space="0" w:color="auto"/>
              <w:left w:val="single" w:sz="4" w:space="0" w:color="auto"/>
              <w:bottom w:val="single" w:sz="4" w:space="0" w:color="auto"/>
              <w:right w:val="single" w:sz="4" w:space="0" w:color="auto"/>
            </w:tcBorders>
            <w:tcMar>
              <w:top w:w="28" w:type="dxa"/>
              <w:bottom w:w="28" w:type="dxa"/>
            </w:tcMar>
          </w:tcPr>
          <w:p w14:paraId="203F543B" w14:textId="77777777" w:rsidR="0034301C" w:rsidRDefault="00986CDB" w:rsidP="00DE5BEC">
            <w:pPr>
              <w:tabs>
                <w:tab w:val="clear" w:pos="1418"/>
                <w:tab w:val="clear" w:pos="4678"/>
                <w:tab w:val="clear" w:pos="5954"/>
                <w:tab w:val="clear" w:pos="7088"/>
                <w:tab w:val="left" w:pos="3435"/>
                <w:tab w:val="left" w:pos="4995"/>
              </w:tabs>
              <w:jc w:val="left"/>
              <w:rPr>
                <w:b/>
              </w:rPr>
            </w:pPr>
            <w:r>
              <w:rPr>
                <w:b/>
              </w:rPr>
              <w:t xml:space="preserve">EC/EFTA. Specific agreement N°ETSI/2017-05. </w:t>
            </w:r>
          </w:p>
          <w:p w14:paraId="37C56558" w14:textId="388F0C23" w:rsidR="000B331A" w:rsidRPr="00DE23ED" w:rsidRDefault="00986CDB" w:rsidP="00DE5BEC">
            <w:pPr>
              <w:tabs>
                <w:tab w:val="clear" w:pos="1418"/>
                <w:tab w:val="clear" w:pos="4678"/>
                <w:tab w:val="clear" w:pos="5954"/>
                <w:tab w:val="clear" w:pos="7088"/>
                <w:tab w:val="left" w:pos="3435"/>
                <w:tab w:val="left" w:pos="4995"/>
              </w:tabs>
              <w:jc w:val="left"/>
            </w:pPr>
            <w:r w:rsidRPr="00DE23ED">
              <w:t>Total budget 159 651,29 EUR</w:t>
            </w:r>
          </w:p>
          <w:p w14:paraId="1E1132BC" w14:textId="77777777" w:rsidR="00C74467" w:rsidRPr="00DE23ED" w:rsidRDefault="00C74467" w:rsidP="00DE23ED">
            <w:pPr>
              <w:pStyle w:val="ListParagraph"/>
              <w:numPr>
                <w:ilvl w:val="0"/>
                <w:numId w:val="35"/>
              </w:numPr>
              <w:tabs>
                <w:tab w:val="left" w:pos="3435"/>
                <w:tab w:val="left" w:pos="4995"/>
              </w:tabs>
              <w:rPr>
                <w:rFonts w:ascii="Arial" w:hAnsi="Arial" w:cs="Arial"/>
                <w:sz w:val="20"/>
              </w:rPr>
            </w:pPr>
            <w:r w:rsidRPr="00DE23ED">
              <w:rPr>
                <w:rFonts w:ascii="Arial" w:hAnsi="Arial" w:cs="Arial"/>
                <w:sz w:val="20"/>
              </w:rPr>
              <w:t>Manpower budget: 84 650 €</w:t>
            </w:r>
          </w:p>
          <w:p w14:paraId="49951D0B" w14:textId="77777777" w:rsidR="00C74467" w:rsidRPr="00DE23ED" w:rsidRDefault="00C74467" w:rsidP="00DE23ED">
            <w:pPr>
              <w:pStyle w:val="ListParagraph"/>
              <w:numPr>
                <w:ilvl w:val="0"/>
                <w:numId w:val="35"/>
              </w:numPr>
              <w:tabs>
                <w:tab w:val="left" w:pos="3435"/>
                <w:tab w:val="left" w:pos="4995"/>
              </w:tabs>
              <w:rPr>
                <w:rFonts w:ascii="Arial" w:hAnsi="Arial" w:cs="Arial"/>
                <w:sz w:val="20"/>
              </w:rPr>
            </w:pPr>
            <w:r w:rsidRPr="00DE23ED">
              <w:rPr>
                <w:rFonts w:ascii="Arial" w:hAnsi="Arial" w:cs="Arial"/>
                <w:sz w:val="20"/>
              </w:rPr>
              <w:t>Travel budget: 30 000€</w:t>
            </w:r>
          </w:p>
          <w:p w14:paraId="38513B59" w14:textId="010A0FF0" w:rsidR="00C74467" w:rsidRPr="00DE23ED" w:rsidRDefault="00C74467" w:rsidP="00DE23ED">
            <w:pPr>
              <w:pStyle w:val="ListParagraph"/>
              <w:numPr>
                <w:ilvl w:val="0"/>
                <w:numId w:val="35"/>
              </w:numPr>
              <w:tabs>
                <w:tab w:val="left" w:pos="3435"/>
                <w:tab w:val="left" w:pos="4995"/>
              </w:tabs>
              <w:rPr>
                <w:rFonts w:cs="Arial"/>
              </w:rPr>
            </w:pPr>
            <w:r w:rsidRPr="00DE23ED">
              <w:rPr>
                <w:rFonts w:ascii="Arial" w:hAnsi="Arial" w:cs="Arial"/>
                <w:sz w:val="20"/>
              </w:rPr>
              <w:t>Workshop (subcontractor): 45 000€</w:t>
            </w:r>
          </w:p>
        </w:tc>
      </w:tr>
      <w:tr w:rsidR="00D517C9" w:rsidRPr="00486632" w14:paraId="00750602" w14:textId="77777777" w:rsidTr="00BB1986">
        <w:trPr>
          <w:trHeight w:val="521"/>
        </w:trPr>
        <w:tc>
          <w:tcPr>
            <w:tcW w:w="1392" w:type="dxa"/>
            <w:tcBorders>
              <w:top w:val="single" w:sz="4" w:space="0" w:color="auto"/>
              <w:left w:val="single" w:sz="4" w:space="0" w:color="auto"/>
              <w:bottom w:val="single" w:sz="4" w:space="0" w:color="auto"/>
              <w:right w:val="single" w:sz="4" w:space="0" w:color="auto"/>
            </w:tcBorders>
            <w:tcMar>
              <w:top w:w="28" w:type="dxa"/>
              <w:bottom w:w="28" w:type="dxa"/>
            </w:tcMar>
          </w:tcPr>
          <w:p w14:paraId="0A32E200" w14:textId="14D40A00" w:rsidR="00D517C9" w:rsidRPr="00486632" w:rsidRDefault="00D517C9" w:rsidP="00D517C9">
            <w:pPr>
              <w:jc w:val="left"/>
            </w:pPr>
            <w:r w:rsidRPr="00486632">
              <w:t>Time scale</w:t>
            </w:r>
          </w:p>
        </w:tc>
        <w:tc>
          <w:tcPr>
            <w:tcW w:w="828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B9265DE" w14:textId="20C6A25D" w:rsidR="00DE23ED" w:rsidRDefault="00DE23ED" w:rsidP="00DE6313">
            <w:r w:rsidRPr="00DE23ED">
              <w:t xml:space="preserve">Start date: </w:t>
            </w:r>
            <w:r w:rsidR="00052A10">
              <w:t>Mid-October</w:t>
            </w:r>
            <w:r>
              <w:t xml:space="preserve"> 2018</w:t>
            </w:r>
          </w:p>
          <w:p w14:paraId="5D14C276" w14:textId="3F53196A" w:rsidR="00D517C9" w:rsidRPr="008207D1" w:rsidRDefault="00DE23ED" w:rsidP="00DE6313">
            <w:pPr>
              <w:rPr>
                <w:highlight w:val="yellow"/>
              </w:rPr>
            </w:pPr>
            <w:r>
              <w:t>End date:</w:t>
            </w:r>
            <w:r w:rsidRPr="00DE23ED">
              <w:t xml:space="preserve"> 31 March 2020</w:t>
            </w:r>
          </w:p>
        </w:tc>
      </w:tr>
      <w:tr w:rsidR="00255D75" w:rsidRPr="00486632" w14:paraId="147E60AD" w14:textId="77777777" w:rsidTr="00BB1986">
        <w:trPr>
          <w:trHeight w:val="756"/>
        </w:trPr>
        <w:tc>
          <w:tcPr>
            <w:tcW w:w="1392" w:type="dxa"/>
            <w:tcBorders>
              <w:top w:val="single" w:sz="4" w:space="0" w:color="auto"/>
              <w:left w:val="single" w:sz="4" w:space="0" w:color="auto"/>
              <w:bottom w:val="single" w:sz="4" w:space="0" w:color="auto"/>
              <w:right w:val="single" w:sz="4" w:space="0" w:color="auto"/>
            </w:tcBorders>
            <w:tcMar>
              <w:top w:w="28" w:type="dxa"/>
              <w:bottom w:w="28" w:type="dxa"/>
            </w:tcMar>
          </w:tcPr>
          <w:p w14:paraId="247425BD" w14:textId="77777777" w:rsidR="00255D75" w:rsidRPr="00486632" w:rsidRDefault="00255D75" w:rsidP="003C10D0">
            <w:pPr>
              <w:jc w:val="left"/>
            </w:pPr>
            <w:r w:rsidRPr="00486632">
              <w:t xml:space="preserve">Work Items </w:t>
            </w:r>
          </w:p>
        </w:tc>
        <w:tc>
          <w:tcPr>
            <w:tcW w:w="8286" w:type="dxa"/>
            <w:tcBorders>
              <w:top w:val="single" w:sz="4" w:space="0" w:color="auto"/>
              <w:left w:val="single" w:sz="4" w:space="0" w:color="auto"/>
              <w:bottom w:val="single" w:sz="4" w:space="0" w:color="auto"/>
              <w:right w:val="single" w:sz="4" w:space="0" w:color="auto"/>
            </w:tcBorders>
            <w:tcMar>
              <w:top w:w="28" w:type="dxa"/>
              <w:bottom w:w="28" w:type="dxa"/>
            </w:tcMar>
          </w:tcPr>
          <w:p w14:paraId="12F08FFA" w14:textId="420CD1E3" w:rsidR="002239A9" w:rsidRDefault="00C51435" w:rsidP="00C51435">
            <w:pPr>
              <w:tabs>
                <w:tab w:val="clear" w:pos="1418"/>
                <w:tab w:val="clear" w:pos="4678"/>
                <w:tab w:val="clear" w:pos="5954"/>
                <w:tab w:val="clear" w:pos="7088"/>
              </w:tabs>
              <w:overflowPunct/>
              <w:autoSpaceDE/>
              <w:autoSpaceDN/>
              <w:adjustRightInd/>
              <w:jc w:val="left"/>
              <w:textAlignment w:val="auto"/>
              <w:rPr>
                <w:rFonts w:cs="Arial"/>
                <w:color w:val="000000"/>
              </w:rPr>
            </w:pPr>
            <w:r>
              <w:rPr>
                <w:rFonts w:cs="Arial"/>
                <w:color w:val="000000"/>
              </w:rPr>
              <w:t xml:space="preserve">DTS/ESI-0019172-3: </w:t>
            </w:r>
            <w:r w:rsidRPr="00C51435">
              <w:rPr>
                <w:rFonts w:cs="Arial"/>
                <w:color w:val="000000"/>
              </w:rPr>
              <w:t>ASN.1 format for signature policies</w:t>
            </w:r>
          </w:p>
          <w:p w14:paraId="3AC78D26" w14:textId="77777777" w:rsidR="00C51435" w:rsidRDefault="00C51435" w:rsidP="00C51435">
            <w:pPr>
              <w:tabs>
                <w:tab w:val="clear" w:pos="1418"/>
                <w:tab w:val="clear" w:pos="4678"/>
                <w:tab w:val="clear" w:pos="5954"/>
                <w:tab w:val="clear" w:pos="7088"/>
              </w:tabs>
              <w:overflowPunct/>
              <w:autoSpaceDE/>
              <w:autoSpaceDN/>
              <w:adjustRightInd/>
              <w:jc w:val="left"/>
              <w:textAlignment w:val="auto"/>
              <w:rPr>
                <w:rFonts w:cs="Arial"/>
                <w:color w:val="000000"/>
              </w:rPr>
            </w:pPr>
            <w:r w:rsidRPr="00C51435">
              <w:rPr>
                <w:rFonts w:cs="Arial"/>
                <w:color w:val="000000"/>
              </w:rPr>
              <w:t>DTS/ESI-0019172-2: XML format for signature policies</w:t>
            </w:r>
          </w:p>
          <w:p w14:paraId="627097DA" w14:textId="078CB0C6" w:rsidR="00DE23ED" w:rsidRPr="00DE23ED" w:rsidRDefault="00DE23ED" w:rsidP="00C51435">
            <w:pPr>
              <w:tabs>
                <w:tab w:val="clear" w:pos="1418"/>
                <w:tab w:val="clear" w:pos="4678"/>
                <w:tab w:val="clear" w:pos="5954"/>
                <w:tab w:val="clear" w:pos="7088"/>
              </w:tabs>
              <w:overflowPunct/>
              <w:autoSpaceDE/>
              <w:autoSpaceDN/>
              <w:adjustRightInd/>
              <w:jc w:val="left"/>
              <w:textAlignment w:val="auto"/>
              <w:rPr>
                <w:rFonts w:cs="Arial"/>
                <w:color w:val="000000"/>
              </w:rPr>
            </w:pPr>
            <w:r w:rsidRPr="00C51435">
              <w:rPr>
                <w:rFonts w:cs="Arial"/>
                <w:color w:val="000000"/>
              </w:rPr>
              <w:t>DTR/ESI-000123: Global Acceptance of EU Trust Services</w:t>
            </w:r>
          </w:p>
        </w:tc>
      </w:tr>
    </w:tbl>
    <w:p w14:paraId="08755396" w14:textId="77777777" w:rsidR="0007181A" w:rsidRDefault="0007181A" w:rsidP="00094E3E"/>
    <w:p w14:paraId="56AE0792" w14:textId="77777777" w:rsidR="008E1DCA" w:rsidRDefault="008E1DCA" w:rsidP="00094E3E"/>
    <w:p w14:paraId="6D655A7B" w14:textId="77777777" w:rsidR="008E1DCA" w:rsidRPr="00486632" w:rsidRDefault="008E1DCA" w:rsidP="00094E3E"/>
    <w:p w14:paraId="0116D4DF" w14:textId="1BAFB161" w:rsidR="00E46006" w:rsidRPr="00795A5C" w:rsidRDefault="00E46006" w:rsidP="00C51435">
      <w:pPr>
        <w:tabs>
          <w:tab w:val="clear" w:pos="1418"/>
          <w:tab w:val="clear" w:pos="4678"/>
          <w:tab w:val="clear" w:pos="5954"/>
          <w:tab w:val="clear" w:pos="7088"/>
        </w:tabs>
        <w:overflowPunct/>
        <w:autoSpaceDE/>
        <w:autoSpaceDN/>
        <w:adjustRightInd/>
        <w:jc w:val="left"/>
        <w:textAlignment w:val="auto"/>
        <w:rPr>
          <w:b/>
          <w:sz w:val="28"/>
          <w:u w:val="single"/>
        </w:rPr>
      </w:pPr>
      <w:bookmarkStart w:id="0" w:name="_GoBack"/>
      <w:bookmarkEnd w:id="0"/>
      <w:r w:rsidRPr="00795A5C">
        <w:rPr>
          <w:b/>
          <w:sz w:val="28"/>
          <w:u w:val="single"/>
        </w:rPr>
        <w:t>Part I – Policy relevance and expected market impact</w:t>
      </w:r>
    </w:p>
    <w:p w14:paraId="63F11154" w14:textId="77777777" w:rsidR="00E46006" w:rsidRPr="008207D1" w:rsidRDefault="00E46006" w:rsidP="00E46006">
      <w:pPr>
        <w:tabs>
          <w:tab w:val="left" w:pos="360"/>
        </w:tabs>
        <w:rPr>
          <w:sz w:val="24"/>
          <w:szCs w:val="24"/>
        </w:rPr>
      </w:pPr>
    </w:p>
    <w:p w14:paraId="3232A4B3" w14:textId="77777777" w:rsidR="00E46006" w:rsidRPr="00795A5C" w:rsidRDefault="00E46006" w:rsidP="00E46006">
      <w:pPr>
        <w:pStyle w:val="Heading1"/>
        <w:keepLines w:val="0"/>
        <w:numPr>
          <w:ilvl w:val="0"/>
          <w:numId w:val="19"/>
        </w:numPr>
        <w:tabs>
          <w:tab w:val="clear" w:pos="1418"/>
        </w:tabs>
        <w:overflowPunct/>
        <w:autoSpaceDE/>
        <w:autoSpaceDN/>
        <w:adjustRightInd/>
        <w:jc w:val="both"/>
        <w:textAlignment w:val="auto"/>
      </w:pPr>
      <w:r w:rsidRPr="00795A5C">
        <w:t>Policy relevance</w:t>
      </w:r>
    </w:p>
    <w:p w14:paraId="5BE53C85" w14:textId="77777777" w:rsidR="00E46006" w:rsidRDefault="00E46006" w:rsidP="00E46006">
      <w:r w:rsidRPr="00765DEC">
        <w:t xml:space="preserve">The actions being proposed fit into the Annual Union Work Programme (AUWP) and the EC </w:t>
      </w:r>
      <w:r w:rsidRPr="00D006E9">
        <w:t>Rolling Plan for ICT Standardisation (201</w:t>
      </w:r>
      <w:r>
        <w:t>7),</w:t>
      </w:r>
      <w:r w:rsidRPr="00765DEC">
        <w:t xml:space="preserve"> in particular</w:t>
      </w:r>
      <w:r>
        <w:t>,</w:t>
      </w:r>
      <w:r w:rsidRPr="00765DEC">
        <w:t xml:space="preserve"> within the “Electronic identification and trust services including e-signatures” policy area of the “Key enablers” cluster.</w:t>
      </w:r>
    </w:p>
    <w:p w14:paraId="044F9DD3" w14:textId="77777777" w:rsidR="00E46006" w:rsidRPr="00D006E9" w:rsidRDefault="00E46006" w:rsidP="00E46006">
      <w:r>
        <w:t>T</w:t>
      </w:r>
      <w:r w:rsidRPr="00D006E9">
        <w:t xml:space="preserve">he proposed actions </w:t>
      </w:r>
      <w:r>
        <w:t xml:space="preserve">address </w:t>
      </w:r>
      <w:r w:rsidRPr="00D006E9">
        <w:t>actions 1</w:t>
      </w:r>
      <w:r>
        <w:t>,</w:t>
      </w:r>
      <w:r w:rsidRPr="00D006E9">
        <w:t xml:space="preserve"> 2</w:t>
      </w:r>
      <w:r>
        <w:t>, 3</w:t>
      </w:r>
      <w:r w:rsidRPr="00D006E9">
        <w:t xml:space="preserve"> </w:t>
      </w:r>
      <w:r>
        <w:t xml:space="preserve">and 5 of the above-mentioned section of the </w:t>
      </w:r>
      <w:r w:rsidRPr="00D006E9">
        <w:t>Rolling Plan for ICT Standardisation (201</w:t>
      </w:r>
      <w:r>
        <w:t>7</w:t>
      </w:r>
      <w:r w:rsidRPr="00D006E9">
        <w:t>)</w:t>
      </w:r>
      <w:r>
        <w:t xml:space="preserve"> </w:t>
      </w:r>
      <w:r w:rsidRPr="00D006E9">
        <w:t>to meet the new regulatory requirements of the Regulation (EU) No 910/2014 on electronic identification and trust services for electronic transactions, including electronic signatures (</w:t>
      </w:r>
      <w:r>
        <w:t xml:space="preserve">referred to as the </w:t>
      </w:r>
      <w:proofErr w:type="spellStart"/>
      <w:r w:rsidRPr="00D006E9">
        <w:t>eIDAS</w:t>
      </w:r>
      <w:proofErr w:type="spellEnd"/>
      <w:r>
        <w:t xml:space="preserve"> Regulation in the rest of this proposal</w:t>
      </w:r>
      <w:r w:rsidRPr="00D006E9">
        <w:t>).</w:t>
      </w:r>
    </w:p>
    <w:p w14:paraId="7D666384" w14:textId="77777777" w:rsidR="00E46006" w:rsidRDefault="00E46006" w:rsidP="00E46006">
      <w:r>
        <w:rPr>
          <w:szCs w:val="24"/>
        </w:rPr>
        <w:t xml:space="preserve">Creating standards relating to the machine-processable consumption of signature policies (i.e. </w:t>
      </w:r>
      <w:r w:rsidRPr="002D619C">
        <w:rPr>
          <w:szCs w:val="24"/>
        </w:rPr>
        <w:t>TS 119 172-2 “Signature Policies. Part 2: XML format for signature policies” and TS 119 172-3 “Signature Policies. Part 3: ASN.1 format for signature policies”</w:t>
      </w:r>
      <w:r>
        <w:rPr>
          <w:szCs w:val="24"/>
        </w:rPr>
        <w:t xml:space="preserve">) are identified as important in action 1 and action 2 </w:t>
      </w:r>
      <w:r>
        <w:t xml:space="preserve">of this section of the </w:t>
      </w:r>
      <w:r w:rsidRPr="00D006E9">
        <w:t>Rolling Plan for ICT Standardisation (201</w:t>
      </w:r>
      <w:r>
        <w:t>7</w:t>
      </w:r>
      <w:r w:rsidRPr="00D006E9">
        <w:t>)</w:t>
      </w:r>
      <w:r>
        <w:t xml:space="preserve"> </w:t>
      </w:r>
      <w:r>
        <w:rPr>
          <w:szCs w:val="24"/>
        </w:rPr>
        <w:t>and are the prime focus of this proposal. Such standards</w:t>
      </w:r>
      <w:r w:rsidRPr="00874096">
        <w:rPr>
          <w:szCs w:val="24"/>
        </w:rPr>
        <w:t xml:space="preserve"> are</w:t>
      </w:r>
      <w:r w:rsidRPr="004529E9">
        <w:rPr>
          <w:szCs w:val="24"/>
        </w:rPr>
        <w:t xml:space="preserve"> a continuation of the T</w:t>
      </w:r>
      <w:r>
        <w:rPr>
          <w:szCs w:val="24"/>
        </w:rPr>
        <w:t>S</w:t>
      </w:r>
      <w:r w:rsidRPr="004529E9">
        <w:rPr>
          <w:szCs w:val="24"/>
        </w:rPr>
        <w:t xml:space="preserve"> 119 172-1 v1.1.1 (2015-07) </w:t>
      </w:r>
      <w:r>
        <w:rPr>
          <w:szCs w:val="24"/>
        </w:rPr>
        <w:t xml:space="preserve">that </w:t>
      </w:r>
      <w:r w:rsidRPr="004A48C7">
        <w:t>defines the building blocks of signature policy and specifies a table of contents for human readable signature policy documents</w:t>
      </w:r>
      <w:r w:rsidRPr="004529E9">
        <w:rPr>
          <w:szCs w:val="24"/>
        </w:rPr>
        <w:t>.</w:t>
      </w:r>
      <w:r>
        <w:t xml:space="preserve"> </w:t>
      </w:r>
      <w:r w:rsidRPr="004529E9">
        <w:t>This continuation work aims to specify a</w:t>
      </w:r>
      <w:r>
        <w:t>n</w:t>
      </w:r>
      <w:r w:rsidRPr="004529E9">
        <w:t xml:space="preserve"> XML format and an ASN.1 format for those parts of the signature policy that may be structured and are worth </w:t>
      </w:r>
      <w:r>
        <w:t>being</w:t>
      </w:r>
      <w:r w:rsidRPr="004529E9">
        <w:t xml:space="preserve"> automatically processed by both signing and validating applications.</w:t>
      </w:r>
      <w:r>
        <w:t xml:space="preserve"> Having machine-processable formats</w:t>
      </w:r>
      <w:r w:rsidRPr="00CC6E3B">
        <w:t xml:space="preserve"> will facilitate implement</w:t>
      </w:r>
      <w:r>
        <w:t>ation of signature creation</w:t>
      </w:r>
      <w:r w:rsidRPr="00CC6E3B">
        <w:t>/validation under different signature policies.</w:t>
      </w:r>
    </w:p>
    <w:p w14:paraId="5C04C42D" w14:textId="77777777" w:rsidR="00E46006" w:rsidRDefault="00E46006" w:rsidP="00E46006">
      <w:pPr>
        <w:rPr>
          <w:i/>
        </w:rPr>
      </w:pPr>
      <w:r>
        <w:t>T</w:t>
      </w:r>
      <w:r w:rsidRPr="00E60B3F">
        <w:t>he European Commission’s 2016 communication document “ICT Standardisation Priorities for the Digital Single Market” (</w:t>
      </w:r>
      <w:proofErr w:type="gramStart"/>
      <w:r w:rsidRPr="00E60B3F">
        <w:t>COM(</w:t>
      </w:r>
      <w:proofErr w:type="gramEnd"/>
      <w:r w:rsidRPr="00E60B3F">
        <w:t>2016) 176)</w:t>
      </w:r>
      <w:r>
        <w:t xml:space="preserve"> highlights that</w:t>
      </w:r>
      <w:r w:rsidRPr="00E60B3F">
        <w:t xml:space="preserve"> common standards ensure the interoperability of digital technologies and are the foundation of an effective Digital Single Market. </w:t>
      </w:r>
      <w:r>
        <w:t xml:space="preserve">Also </w:t>
      </w:r>
      <w:r w:rsidRPr="00D006E9">
        <w:t>action</w:t>
      </w:r>
      <w:r>
        <w:t>s 3</w:t>
      </w:r>
      <w:r w:rsidRPr="00D006E9">
        <w:t xml:space="preserve"> </w:t>
      </w:r>
      <w:r>
        <w:t xml:space="preserve">and 5 of </w:t>
      </w:r>
      <w:proofErr w:type="spellStart"/>
      <w:r>
        <w:t>of</w:t>
      </w:r>
      <w:proofErr w:type="spellEnd"/>
      <w:r>
        <w:t xml:space="preserve"> the </w:t>
      </w:r>
      <w:r w:rsidRPr="00D006E9">
        <w:t>Rolling Plan for ICT Standardisation (201</w:t>
      </w:r>
      <w:r>
        <w:t>7</w:t>
      </w:r>
      <w:r w:rsidRPr="00D006E9">
        <w:t>)</w:t>
      </w:r>
      <w:r>
        <w:t xml:space="preserve"> stress that "the internationalisation and promotion of related European standards should be favoured" and that information should be disseminated to raise </w:t>
      </w:r>
      <w:r>
        <w:lastRenderedPageBreak/>
        <w:t xml:space="preserve">awareness and promote the take-up of EU related standards. </w:t>
      </w:r>
      <w:r w:rsidRPr="00E60B3F">
        <w:t>It is therefore essential to have support from European experts in the relevant international standardisation and other fora which are working on ICT priority areas.</w:t>
      </w:r>
      <w:r>
        <w:t xml:space="preserve"> </w:t>
      </w:r>
      <w:r w:rsidRPr="00E60B3F">
        <w:t>The internationalisation of EU trust services on global level is also an important task. In order to establish the single digital market, the acceptance of the European Trust Services by the global software vendors and trust application providers like Mozilla, Google, Microsoft, Amazon, Adobe and Oracle is crucial</w:t>
      </w:r>
      <w:r w:rsidRPr="00AB3588">
        <w:t>.</w:t>
      </w:r>
      <w:r>
        <w:t xml:space="preserve"> </w:t>
      </w:r>
    </w:p>
    <w:p w14:paraId="3DE6CAB0" w14:textId="77777777" w:rsidR="00E46006" w:rsidRDefault="00E46006" w:rsidP="00E46006">
      <w:pPr>
        <w:rPr>
          <w:i/>
        </w:rPr>
      </w:pPr>
    </w:p>
    <w:p w14:paraId="59FAA1B2" w14:textId="77777777" w:rsidR="00E46006" w:rsidRDefault="00E46006" w:rsidP="00E46006">
      <w:pPr>
        <w:pStyle w:val="Heading1"/>
        <w:keepLines w:val="0"/>
        <w:numPr>
          <w:ilvl w:val="0"/>
          <w:numId w:val="19"/>
        </w:numPr>
        <w:tabs>
          <w:tab w:val="clear" w:pos="1418"/>
        </w:tabs>
        <w:overflowPunct/>
        <w:autoSpaceDE/>
        <w:autoSpaceDN/>
        <w:adjustRightInd/>
        <w:jc w:val="both"/>
        <w:textAlignment w:val="auto"/>
      </w:pPr>
      <w:r>
        <w:t>Rationale</w:t>
      </w:r>
    </w:p>
    <w:p w14:paraId="7F1A08BF" w14:textId="77777777" w:rsidR="00E46006" w:rsidRPr="00A5780E" w:rsidRDefault="00E46006" w:rsidP="00E46006">
      <w:r w:rsidRPr="00A5780E">
        <w:t xml:space="preserve">Regulation (EU) No. 910/2014 identified the building of trust in the online environment </w:t>
      </w:r>
      <w:r>
        <w:t xml:space="preserve">as </w:t>
      </w:r>
      <w:r w:rsidRPr="00A5780E">
        <w:t>key to economic and social development. Standards need to be available to ensure solutions that are interoperable and provide consistent levels of trust. Whilst the regulation provides a common set of requirements</w:t>
      </w:r>
      <w:r>
        <w:t>,</w:t>
      </w:r>
      <w:r w:rsidRPr="00A5780E">
        <w:t xml:space="preserve"> it does not identify how these requirements </w:t>
      </w:r>
      <w:r>
        <w:t xml:space="preserve">may </w:t>
      </w:r>
      <w:r w:rsidRPr="00A5780E">
        <w:t>be met with existing technology. Standards provide a generally accepted means of meeting requirements with existing technology, whilst if necessary the market can develop alternative solutions as new technology emerges which may later be absorbed into the generally accepted standards.</w:t>
      </w:r>
    </w:p>
    <w:p w14:paraId="24CE747C" w14:textId="163CE0CE" w:rsidR="00E46006" w:rsidRDefault="00E46006" w:rsidP="00E46006">
      <w:r>
        <w:t>W</w:t>
      </w:r>
      <w:r w:rsidRPr="00A5780E">
        <w:t xml:space="preserve">ork under Mandate </w:t>
      </w:r>
      <w:r>
        <w:t>M/</w:t>
      </w:r>
      <w:r w:rsidRPr="00A5780E">
        <w:t>460 Phase II</w:t>
      </w:r>
      <w:r>
        <w:t xml:space="preserve"> resulted in the publication of several standards on signature policies and for trust services.</w:t>
      </w:r>
    </w:p>
    <w:p w14:paraId="38890259" w14:textId="77777777" w:rsidR="006A5009" w:rsidRDefault="006A5009" w:rsidP="00E46006"/>
    <w:p w14:paraId="1F577E82" w14:textId="77777777" w:rsidR="00E46006" w:rsidRPr="00130AA7" w:rsidRDefault="00E46006" w:rsidP="00E46006">
      <w:pPr>
        <w:pStyle w:val="Heading2"/>
        <w:keepLines w:val="0"/>
        <w:numPr>
          <w:ilvl w:val="1"/>
          <w:numId w:val="19"/>
        </w:numPr>
        <w:tabs>
          <w:tab w:val="clear" w:pos="1418"/>
        </w:tabs>
        <w:overflowPunct/>
        <w:autoSpaceDE/>
        <w:autoSpaceDN/>
        <w:adjustRightInd/>
        <w:jc w:val="both"/>
        <w:textAlignment w:val="auto"/>
      </w:pPr>
      <w:bookmarkStart w:id="1" w:name="_Ref456720232"/>
      <w:r w:rsidRPr="008776AA">
        <w:t>Internationalisation of Trust Services</w:t>
      </w:r>
      <w:bookmarkEnd w:id="1"/>
      <w:r w:rsidRPr="008776AA">
        <w:t xml:space="preserve"> </w:t>
      </w:r>
    </w:p>
    <w:p w14:paraId="7A9D034F" w14:textId="77777777" w:rsidR="00E46006" w:rsidRDefault="00E46006" w:rsidP="00E46006">
      <w:r w:rsidRPr="00AB598A">
        <w:t xml:space="preserve">ETSI standards on Trust Services are </w:t>
      </w:r>
      <w:r>
        <w:t xml:space="preserve">being </w:t>
      </w:r>
      <w:r w:rsidRPr="00AB598A">
        <w:t>adopted throughout Europe</w:t>
      </w:r>
      <w:r>
        <w:t xml:space="preserve"> in support of the </w:t>
      </w:r>
      <w:proofErr w:type="spellStart"/>
      <w:r>
        <w:t>eIDAS</w:t>
      </w:r>
      <w:proofErr w:type="spellEnd"/>
      <w:r>
        <w:t xml:space="preserve"> Regulation </w:t>
      </w:r>
      <w:r w:rsidRPr="00AB598A">
        <w:t>(EN 319 403, EN 319 401, EN 319 411), and use of the Trusted Lists TS 119 612 in EC CID 2015/1505</w:t>
      </w:r>
      <w:r w:rsidRPr="00B903B2">
        <w:t xml:space="preserve"> </w:t>
      </w:r>
      <w:r w:rsidRPr="00874096">
        <w:t>laying down technical specifications and formats relating to trusted lists</w:t>
      </w:r>
      <w:r>
        <w:t>. These are based on use of Public Key Infrastructure (PKI technologies using ITU-T X.509). However, cross recognition of the EU approach to PKI standards</w:t>
      </w:r>
      <w:r w:rsidRPr="00AB598A">
        <w:t xml:space="preserve"> </w:t>
      </w:r>
      <w:r>
        <w:t>at an international level is yet to be achieved. A number of international, regional and sector specific communities adopting Public Key Infrastructure (PKI) technologies based on ITU-T X.509 exist which need to achieve cross recognition with European Trust Services to achieve end to end security. This includes:</w:t>
      </w:r>
    </w:p>
    <w:p w14:paraId="7494F5D7" w14:textId="77777777" w:rsidR="00E46006" w:rsidRPr="0051193B" w:rsidRDefault="00E46006" w:rsidP="00E46006">
      <w:pPr>
        <w:pStyle w:val="ListParagraph"/>
        <w:numPr>
          <w:ilvl w:val="0"/>
          <w:numId w:val="29"/>
        </w:numPr>
        <w:spacing w:after="240"/>
        <w:jc w:val="both"/>
        <w:rPr>
          <w:rFonts w:ascii="Arial" w:hAnsi="Arial" w:cs="Arial"/>
          <w:sz w:val="20"/>
        </w:rPr>
      </w:pPr>
      <w:r w:rsidRPr="0051193B">
        <w:rPr>
          <w:rFonts w:ascii="Arial" w:hAnsi="Arial" w:cs="Arial"/>
          <w:sz w:val="20"/>
        </w:rPr>
        <w:t>The CA/Browser forum</w:t>
      </w:r>
    </w:p>
    <w:p w14:paraId="11A83AF6" w14:textId="77777777" w:rsidR="00E46006" w:rsidRPr="0051193B" w:rsidRDefault="00E46006" w:rsidP="00E46006">
      <w:pPr>
        <w:pStyle w:val="ListParagraph"/>
        <w:numPr>
          <w:ilvl w:val="0"/>
          <w:numId w:val="29"/>
        </w:numPr>
        <w:spacing w:after="240"/>
        <w:jc w:val="both"/>
        <w:rPr>
          <w:rFonts w:ascii="Arial" w:hAnsi="Arial" w:cs="Arial"/>
          <w:sz w:val="20"/>
        </w:rPr>
      </w:pPr>
      <w:r w:rsidRPr="0051193B">
        <w:rPr>
          <w:rFonts w:ascii="Arial" w:hAnsi="Arial" w:cs="Arial"/>
          <w:sz w:val="20"/>
        </w:rPr>
        <w:t>Root certificate programmes of global application providers such as Mozilla, Google, Microsoft, Amazon, Adobe and Oracle</w:t>
      </w:r>
    </w:p>
    <w:p w14:paraId="7DEA9A99" w14:textId="77777777" w:rsidR="00E46006" w:rsidRPr="0051193B" w:rsidRDefault="00E46006" w:rsidP="00E46006">
      <w:pPr>
        <w:pStyle w:val="ListParagraph"/>
        <w:numPr>
          <w:ilvl w:val="0"/>
          <w:numId w:val="29"/>
        </w:numPr>
        <w:spacing w:after="240"/>
        <w:jc w:val="both"/>
        <w:rPr>
          <w:rFonts w:ascii="Arial" w:hAnsi="Arial" w:cs="Arial"/>
          <w:sz w:val="20"/>
        </w:rPr>
      </w:pPr>
      <w:r w:rsidRPr="0051193B">
        <w:rPr>
          <w:rFonts w:ascii="Arial" w:hAnsi="Arial" w:cs="Arial"/>
          <w:sz w:val="20"/>
        </w:rPr>
        <w:t xml:space="preserve">Sector specific global PKI such as </w:t>
      </w:r>
      <w:proofErr w:type="spellStart"/>
      <w:r w:rsidRPr="0051193B">
        <w:rPr>
          <w:rFonts w:ascii="Arial" w:hAnsi="Arial" w:cs="Arial"/>
          <w:sz w:val="20"/>
        </w:rPr>
        <w:t>SafeBiopharma</w:t>
      </w:r>
      <w:proofErr w:type="spellEnd"/>
    </w:p>
    <w:p w14:paraId="2C39D85E" w14:textId="77777777" w:rsidR="00E46006" w:rsidRPr="0051193B" w:rsidRDefault="00E46006" w:rsidP="00E46006">
      <w:pPr>
        <w:pStyle w:val="ListParagraph"/>
        <w:numPr>
          <w:ilvl w:val="0"/>
          <w:numId w:val="29"/>
        </w:numPr>
        <w:spacing w:after="240"/>
        <w:jc w:val="both"/>
        <w:rPr>
          <w:rFonts w:ascii="Arial" w:hAnsi="Arial" w:cs="Arial"/>
          <w:sz w:val="20"/>
        </w:rPr>
      </w:pPr>
      <w:r w:rsidRPr="0051193B">
        <w:rPr>
          <w:rFonts w:ascii="Arial" w:hAnsi="Arial" w:cs="Arial"/>
          <w:sz w:val="20"/>
        </w:rPr>
        <w:t>US federal PKI and associated programs such as National Strategy for Trusted Identities in Cyberspace (NSTIC)</w:t>
      </w:r>
    </w:p>
    <w:p w14:paraId="422E607F" w14:textId="77777777" w:rsidR="00E46006" w:rsidRPr="0051193B" w:rsidRDefault="00E46006" w:rsidP="00E46006">
      <w:pPr>
        <w:pStyle w:val="ListParagraph"/>
        <w:numPr>
          <w:ilvl w:val="0"/>
          <w:numId w:val="29"/>
        </w:numPr>
        <w:spacing w:after="240"/>
        <w:jc w:val="both"/>
        <w:rPr>
          <w:rFonts w:ascii="Arial" w:hAnsi="Arial" w:cs="Arial"/>
          <w:sz w:val="20"/>
        </w:rPr>
      </w:pPr>
      <w:r w:rsidRPr="0051193B">
        <w:rPr>
          <w:rFonts w:ascii="Arial" w:hAnsi="Arial" w:cs="Arial"/>
          <w:sz w:val="20"/>
        </w:rPr>
        <w:t>Far eastern communities such as Asia PKI Consortium, Association of South East Asian Nations, Chinese Electronic Certification Services Systems, Japan Institute for Promotion of Digital Economy and Community</w:t>
      </w:r>
    </w:p>
    <w:p w14:paraId="0838B385" w14:textId="77777777" w:rsidR="00E46006" w:rsidRPr="0051193B" w:rsidRDefault="00E46006" w:rsidP="00E46006">
      <w:pPr>
        <w:pStyle w:val="ListParagraph"/>
        <w:numPr>
          <w:ilvl w:val="0"/>
          <w:numId w:val="29"/>
        </w:numPr>
        <w:spacing w:after="240"/>
        <w:jc w:val="both"/>
        <w:rPr>
          <w:rFonts w:ascii="Arial" w:hAnsi="Arial" w:cs="Arial"/>
          <w:sz w:val="20"/>
        </w:rPr>
      </w:pPr>
      <w:r w:rsidRPr="0051193B">
        <w:rPr>
          <w:rFonts w:ascii="Arial" w:hAnsi="Arial" w:cs="Arial"/>
          <w:sz w:val="20"/>
        </w:rPr>
        <w:t xml:space="preserve">Arab PKI forum and other middle eastern communities </w:t>
      </w:r>
    </w:p>
    <w:p w14:paraId="024B9E75" w14:textId="77777777" w:rsidR="00E46006" w:rsidRPr="0051193B" w:rsidRDefault="00E46006" w:rsidP="00E46006">
      <w:pPr>
        <w:pStyle w:val="ListParagraph"/>
        <w:numPr>
          <w:ilvl w:val="0"/>
          <w:numId w:val="29"/>
        </w:numPr>
        <w:spacing w:after="160" w:line="259" w:lineRule="auto"/>
        <w:rPr>
          <w:rFonts w:ascii="Arial" w:hAnsi="Arial" w:cs="Arial"/>
          <w:sz w:val="20"/>
        </w:rPr>
      </w:pPr>
      <w:r w:rsidRPr="0051193B">
        <w:rPr>
          <w:rFonts w:ascii="Arial" w:hAnsi="Arial" w:cs="Arial"/>
          <w:sz w:val="20"/>
        </w:rPr>
        <w:t>Common Market for Eastern and Southern Africa</w:t>
      </w:r>
    </w:p>
    <w:p w14:paraId="2A0A9744" w14:textId="77777777" w:rsidR="00E46006" w:rsidRPr="0051193B" w:rsidRDefault="00E46006" w:rsidP="00E46006">
      <w:pPr>
        <w:pStyle w:val="ListParagraph"/>
        <w:numPr>
          <w:ilvl w:val="0"/>
          <w:numId w:val="29"/>
        </w:numPr>
        <w:spacing w:after="160" w:line="259" w:lineRule="auto"/>
        <w:rPr>
          <w:rFonts w:ascii="Arial" w:hAnsi="Arial" w:cs="Arial"/>
          <w:sz w:val="20"/>
        </w:rPr>
      </w:pPr>
      <w:r w:rsidRPr="0051193B">
        <w:rPr>
          <w:rFonts w:ascii="Arial" w:hAnsi="Arial" w:cs="Arial"/>
          <w:sz w:val="20"/>
        </w:rPr>
        <w:t xml:space="preserve">ISO/IEC JTC1 SC 27 guidance on PKI service providers </w:t>
      </w:r>
    </w:p>
    <w:p w14:paraId="7359DE59" w14:textId="7277AC69" w:rsidR="00E46006" w:rsidRDefault="00E46006" w:rsidP="00E46006">
      <w:r>
        <w:t>Through further activities in promoting the use of EU standards internationally and facilitating cross recognition with other internationally based PKI schemes, such as those listed above, it will be possible for the EU players in the trust service market to work internationally. It is the aim of this work to focus on the detailed technical interoperability and trust issues rather than the legal and political coordination between the EU and other nations.</w:t>
      </w:r>
    </w:p>
    <w:p w14:paraId="741E1F8B" w14:textId="77777777" w:rsidR="006A5009" w:rsidRPr="00AB598A" w:rsidRDefault="006A5009" w:rsidP="00E46006"/>
    <w:p w14:paraId="59B3FA96" w14:textId="77777777" w:rsidR="00E46006" w:rsidRPr="00130AA7" w:rsidRDefault="00E46006" w:rsidP="00E46006">
      <w:pPr>
        <w:pStyle w:val="Heading2"/>
        <w:keepLines w:val="0"/>
        <w:numPr>
          <w:ilvl w:val="1"/>
          <w:numId w:val="19"/>
        </w:numPr>
        <w:tabs>
          <w:tab w:val="clear" w:pos="1418"/>
        </w:tabs>
        <w:overflowPunct/>
        <w:autoSpaceDE/>
        <w:autoSpaceDN/>
        <w:adjustRightInd/>
        <w:jc w:val="both"/>
        <w:textAlignment w:val="auto"/>
      </w:pPr>
      <w:bookmarkStart w:id="2" w:name="_Ref413860552"/>
      <w:r w:rsidRPr="008776AA">
        <w:t>Standards for machine processable signature policy formats</w:t>
      </w:r>
    </w:p>
    <w:p w14:paraId="68A128E0" w14:textId="77777777" w:rsidR="00E46006" w:rsidRPr="00A5780E" w:rsidRDefault="00E46006" w:rsidP="00E46006">
      <w:r w:rsidRPr="00A5780E">
        <w:t>The purpose of a signature policy is to describe the requirements imposed on or committing the involved actors (signers, verifiers, relying parties and/or potentially one or more trust service providers) with respect to the application of signatures to documents and data that will be signed in a particular context, transaction, process, business or application domain, in order for these signatures to be considered as valid or conformant signatures under this signature policy.</w:t>
      </w:r>
    </w:p>
    <w:p w14:paraId="09AA1828" w14:textId="77777777" w:rsidR="00E46006" w:rsidRPr="00A5780E" w:rsidRDefault="00E46006" w:rsidP="00E46006">
      <w:r w:rsidRPr="00A5780E">
        <w:t>ETSI TS 119 172-1 defines the building blocks of signature policy and specifies a table of contents for human readable signature policy documents</w:t>
      </w:r>
      <w:r>
        <w:t>. It</w:t>
      </w:r>
      <w:r w:rsidRPr="00A5780E">
        <w:t xml:space="preserve"> allow</w:t>
      </w:r>
      <w:r>
        <w:t>s</w:t>
      </w:r>
      <w:r w:rsidRPr="00A5780E">
        <w:t xml:space="preserve"> documenting the decisions resulting from an analysis driven by a business or application context on how the concerned signature(s) needs to be implemented to meet the needs of the specific business application or electronic process it(they) </w:t>
      </w:r>
      <w:r w:rsidRPr="00A5780E">
        <w:lastRenderedPageBreak/>
        <w:t>support</w:t>
      </w:r>
      <w:r>
        <w:t>. It also specifies</w:t>
      </w:r>
      <w:r w:rsidRPr="00A5780E">
        <w:t xml:space="preserve"> the means for the creation, augmentation or long term management and verification of all the features of the concerned signature(s).</w:t>
      </w:r>
    </w:p>
    <w:p w14:paraId="5D6D76E5" w14:textId="77777777" w:rsidR="00E46006" w:rsidRDefault="00E46006" w:rsidP="00E46006">
      <w:r w:rsidRPr="00A5780E">
        <w:t>As digital signatures are mainly treated and processed by applications</w:t>
      </w:r>
      <w:r>
        <w:t>,</w:t>
      </w:r>
      <w:r w:rsidRPr="00A5780E">
        <w:t xml:space="preserve"> it is critical to allow the machine processable conversion and treatment of the rules having been established and documented by business process owners. </w:t>
      </w:r>
      <w:r>
        <w:t>This is highlighted in the R</w:t>
      </w:r>
      <w:r w:rsidRPr="00D72574">
        <w:t>egulation (EU) No. 910/2014</w:t>
      </w:r>
      <w:r>
        <w:t xml:space="preserve"> Article 33 item 1(b) which states that “</w:t>
      </w:r>
      <w:r w:rsidRPr="002B1FAB">
        <w:rPr>
          <w:i/>
        </w:rPr>
        <w:t>Qualified validation service for qualified electronic signatures</w:t>
      </w:r>
      <w:r>
        <w:t xml:space="preserve"> </w:t>
      </w:r>
      <w:r w:rsidRPr="002B1FAB">
        <w:rPr>
          <w:i/>
        </w:rPr>
        <w:t xml:space="preserve">may only be provided by a qualified trust service provider who: (b) allows relying parties to receive the result of the validation process in an </w:t>
      </w:r>
      <w:r w:rsidRPr="00441FFD">
        <w:rPr>
          <w:b/>
          <w:i/>
        </w:rPr>
        <w:t>automated</w:t>
      </w:r>
      <w:r w:rsidRPr="002B1FAB">
        <w:rPr>
          <w:i/>
        </w:rPr>
        <w:t xml:space="preserve"> manner, which is reliable, efficient and bears the advanced electronic signature or advanced electronic seal of the provider of the qualified validation service</w:t>
      </w:r>
      <w:r>
        <w:t>”.</w:t>
      </w:r>
    </w:p>
    <w:p w14:paraId="4B770A27" w14:textId="71111A97" w:rsidR="00E46006" w:rsidRDefault="00E46006" w:rsidP="00E46006">
      <w:r>
        <w:t>Back into 2002, TC ESI published ETSI TR 102 038: “</w:t>
      </w:r>
      <w:r w:rsidRPr="00B91BB7">
        <w:t>TC Security - Electronic Signatures and Infrastructures (ESI); XML format for signature policies</w:t>
      </w:r>
      <w:r>
        <w:t>”, followed by ETSI TR 102 272: “</w:t>
      </w:r>
      <w:r w:rsidRPr="00B91BB7">
        <w:t xml:space="preserve">Electronic Signatures and Infrastructures (ESI); </w:t>
      </w:r>
      <w:r>
        <w:t>ASN.1</w:t>
      </w:r>
      <w:r w:rsidRPr="00B91BB7">
        <w:t xml:space="preserve"> format for signature policies</w:t>
      </w:r>
      <w:r>
        <w:t>” in 2003. These deliverables were implemented by a good number of stakeholders, who regularly raised a number of technical comments to TC ESI on their usage. These deliverables are now out of date and need a complete rework. Now that ETSI TS 119 172-1 has been published, there is a clear demand to provide again standards for translating the human readable signature policies in machine processable ones.</w:t>
      </w:r>
    </w:p>
    <w:p w14:paraId="3835F889" w14:textId="77777777" w:rsidR="006A5009" w:rsidRDefault="006A5009" w:rsidP="00E46006"/>
    <w:bookmarkEnd w:id="2"/>
    <w:p w14:paraId="30CD67A4" w14:textId="77777777" w:rsidR="00E46006" w:rsidRDefault="00E46006" w:rsidP="00E46006">
      <w:pPr>
        <w:pStyle w:val="Heading1"/>
        <w:keepLines w:val="0"/>
        <w:numPr>
          <w:ilvl w:val="0"/>
          <w:numId w:val="19"/>
        </w:numPr>
        <w:tabs>
          <w:tab w:val="clear" w:pos="1418"/>
        </w:tabs>
        <w:overflowPunct/>
        <w:autoSpaceDE/>
        <w:autoSpaceDN/>
        <w:adjustRightInd/>
        <w:jc w:val="both"/>
        <w:textAlignment w:val="auto"/>
      </w:pPr>
      <w:r w:rsidRPr="00D02573">
        <w:t>Objective</w:t>
      </w:r>
    </w:p>
    <w:p w14:paraId="530DC084" w14:textId="77777777" w:rsidR="00E46006" w:rsidRDefault="00E46006" w:rsidP="00E46006">
      <w:pPr>
        <w:pStyle w:val="Heading2"/>
        <w:keepLines w:val="0"/>
        <w:numPr>
          <w:ilvl w:val="1"/>
          <w:numId w:val="19"/>
        </w:numPr>
        <w:tabs>
          <w:tab w:val="clear" w:pos="1418"/>
        </w:tabs>
        <w:overflowPunct/>
        <w:autoSpaceDE/>
        <w:autoSpaceDN/>
        <w:adjustRightInd/>
        <w:jc w:val="both"/>
        <w:textAlignment w:val="auto"/>
      </w:pPr>
      <w:r>
        <w:t>Internationalisation of EU Trust Services</w:t>
      </w:r>
    </w:p>
    <w:p w14:paraId="519F5BCC" w14:textId="77777777" w:rsidR="00E46006" w:rsidRPr="00451FEB" w:rsidRDefault="00E46006" w:rsidP="00E46006">
      <w:pPr>
        <w:pStyle w:val="ListParagraph"/>
        <w:ind w:left="0"/>
        <w:rPr>
          <w:rFonts w:ascii="Arial" w:hAnsi="Arial" w:cs="Arial"/>
          <w:sz w:val="20"/>
        </w:rPr>
      </w:pPr>
      <w:r w:rsidRPr="00451FEB">
        <w:rPr>
          <w:rFonts w:ascii="Arial" w:hAnsi="Arial" w:cs="Arial"/>
          <w:sz w:val="20"/>
        </w:rPr>
        <w:t xml:space="preserve">The objective of the proposed tasks on internationalisation is facilitating the global recognition and trust of EU PKI Trust Services, supporting </w:t>
      </w:r>
      <w:proofErr w:type="spellStart"/>
      <w:r w:rsidRPr="00451FEB">
        <w:rPr>
          <w:rFonts w:ascii="Arial" w:hAnsi="Arial" w:cs="Arial"/>
          <w:sz w:val="20"/>
        </w:rPr>
        <w:t>eIDAS</w:t>
      </w:r>
      <w:proofErr w:type="spellEnd"/>
      <w:r w:rsidRPr="00451FEB">
        <w:rPr>
          <w:rFonts w:ascii="Arial" w:hAnsi="Arial" w:cs="Arial"/>
          <w:sz w:val="20"/>
        </w:rPr>
        <w:t xml:space="preserve"> Regulation based on EU standards (in particular EN 319 411, EN 319 401, EN 319 403 and TS 119 612). Thus enabling EU Trust services to operate not only within the internal European market, but also within the global market for trustworthy online services supporting PKI services for trust services such as web site authentication, electronic signatures and seals, code signing, secure email. This task seeks to facilitate cross recognition between EU Trust services and other PKI communities such as listed in section 2.1 above.</w:t>
      </w:r>
    </w:p>
    <w:p w14:paraId="699184C3" w14:textId="77777777" w:rsidR="00E46006" w:rsidRPr="00451FEB" w:rsidRDefault="00E46006" w:rsidP="00E46006">
      <w:pPr>
        <w:rPr>
          <w:rFonts w:cs="Arial"/>
        </w:rPr>
      </w:pPr>
      <w:r w:rsidRPr="00451FEB">
        <w:rPr>
          <w:rFonts w:cs="Arial"/>
        </w:rPr>
        <w:t>More specifically, the objective of this task is produce the following deliverables:</w:t>
      </w:r>
    </w:p>
    <w:p w14:paraId="0E9F1D03" w14:textId="77777777" w:rsidR="00E46006" w:rsidRPr="00451FEB" w:rsidRDefault="00E46006" w:rsidP="00E46006">
      <w:pPr>
        <w:pStyle w:val="ListParagraph"/>
        <w:numPr>
          <w:ilvl w:val="0"/>
          <w:numId w:val="31"/>
        </w:numPr>
        <w:spacing w:after="240"/>
        <w:jc w:val="both"/>
        <w:rPr>
          <w:rFonts w:ascii="Arial" w:hAnsi="Arial" w:cs="Arial"/>
          <w:sz w:val="20"/>
        </w:rPr>
      </w:pPr>
      <w:r w:rsidRPr="00451FEB">
        <w:rPr>
          <w:rFonts w:ascii="Arial" w:hAnsi="Arial" w:cs="Arial"/>
          <w:sz w:val="20"/>
        </w:rPr>
        <w:t>a technical report [WI DTR/ESI-000123TR “Global Acceptance of EU Trust Services”] to assess the relevant differences between existing global PKI schemes (such as those listed in 2.1) and the EU standards for policy requirements, assessment scheme and trust status defined in ETSI EN 319 411, EN 319 411, EN 319 403 and TS 119 612, and identify opportunities to further steps which could be taken to increase the European foothold in the global market for Trust Services.</w:t>
      </w:r>
    </w:p>
    <w:p w14:paraId="0928AC59" w14:textId="77777777" w:rsidR="00E46006" w:rsidRPr="00451FEB" w:rsidRDefault="00E46006" w:rsidP="00E46006">
      <w:pPr>
        <w:pStyle w:val="ListParagraph"/>
        <w:numPr>
          <w:ilvl w:val="0"/>
          <w:numId w:val="31"/>
        </w:numPr>
        <w:spacing w:after="240"/>
        <w:jc w:val="both"/>
        <w:rPr>
          <w:rFonts w:ascii="Arial" w:hAnsi="Arial" w:cs="Arial"/>
          <w:sz w:val="20"/>
        </w:rPr>
      </w:pPr>
      <w:r w:rsidRPr="00451FEB">
        <w:rPr>
          <w:rFonts w:ascii="Arial" w:hAnsi="Arial" w:cs="Arial"/>
          <w:sz w:val="20"/>
        </w:rPr>
        <w:t>Reports of three internationally based workshops with EU stakeholders and representatives of interests in global PKI schemes (such as those listed in 2.1).  One workshop will be held in the US, another in Japan and the third one in the Middle-East where a number of the key stakeholders in global PKI market are based.</w:t>
      </w:r>
    </w:p>
    <w:p w14:paraId="786884E8" w14:textId="77777777" w:rsidR="00E46006" w:rsidRPr="00451FEB" w:rsidRDefault="00E46006" w:rsidP="00E46006">
      <w:pPr>
        <w:pStyle w:val="ListParagraph"/>
        <w:ind w:left="0"/>
        <w:rPr>
          <w:rFonts w:ascii="Arial" w:hAnsi="Arial" w:cs="Arial"/>
          <w:sz w:val="20"/>
        </w:rPr>
      </w:pPr>
    </w:p>
    <w:p w14:paraId="5CBFA96C" w14:textId="77777777" w:rsidR="00E46006" w:rsidRPr="00F70431" w:rsidRDefault="00E46006" w:rsidP="00E46006">
      <w:pPr>
        <w:pStyle w:val="Heading2"/>
        <w:keepLines w:val="0"/>
        <w:numPr>
          <w:ilvl w:val="1"/>
          <w:numId w:val="19"/>
        </w:numPr>
        <w:tabs>
          <w:tab w:val="clear" w:pos="1418"/>
        </w:tabs>
        <w:overflowPunct/>
        <w:autoSpaceDE/>
        <w:autoSpaceDN/>
        <w:adjustRightInd/>
        <w:jc w:val="both"/>
        <w:textAlignment w:val="auto"/>
      </w:pPr>
      <w:r w:rsidRPr="003E5D7C">
        <w:t xml:space="preserve">Standards for machine </w:t>
      </w:r>
      <w:r>
        <w:t>processable</w:t>
      </w:r>
      <w:r w:rsidRPr="003E5D7C">
        <w:t xml:space="preserve"> signature policy formats</w:t>
      </w:r>
    </w:p>
    <w:p w14:paraId="3FD378DD" w14:textId="77777777" w:rsidR="00E46006" w:rsidRPr="00451FEB" w:rsidRDefault="00E46006" w:rsidP="00E46006">
      <w:pPr>
        <w:rPr>
          <w:rFonts w:cs="Arial"/>
        </w:rPr>
      </w:pPr>
      <w:r w:rsidRPr="00451FEB">
        <w:rPr>
          <w:rFonts w:cs="Arial"/>
        </w:rPr>
        <w:t>The objective of this part of the proposal is to specify XML and ASN.1 formats for signature policies to allow the automatic processing of the relevant aspects defined by such a policy during the creation, augmentation and validation of digital signatures.</w:t>
      </w:r>
    </w:p>
    <w:p w14:paraId="2ED08DF4" w14:textId="77777777" w:rsidR="00E46006" w:rsidRPr="00451FEB" w:rsidRDefault="00E46006" w:rsidP="00E46006">
      <w:pPr>
        <w:rPr>
          <w:rFonts w:cs="Arial"/>
        </w:rPr>
      </w:pPr>
      <w:r w:rsidRPr="00451FEB">
        <w:rPr>
          <w:rFonts w:cs="Arial"/>
        </w:rPr>
        <w:t>More specifically this task is aiming at producing the following deliverables:</w:t>
      </w:r>
    </w:p>
    <w:p w14:paraId="11E2910D" w14:textId="77777777" w:rsidR="00E46006" w:rsidRPr="00451FEB" w:rsidRDefault="00E46006" w:rsidP="00E46006">
      <w:pPr>
        <w:pStyle w:val="B1"/>
        <w:keepNext w:val="0"/>
        <w:keepLines w:val="0"/>
        <w:numPr>
          <w:ilvl w:val="0"/>
          <w:numId w:val="18"/>
        </w:numPr>
        <w:tabs>
          <w:tab w:val="left" w:pos="1418"/>
          <w:tab w:val="left" w:pos="4678"/>
          <w:tab w:val="left" w:pos="5954"/>
          <w:tab w:val="left" w:pos="7088"/>
        </w:tabs>
        <w:spacing w:after="240" w:line="240" w:lineRule="atLeast"/>
        <w:jc w:val="both"/>
        <w:rPr>
          <w:rFonts w:cs="Arial"/>
        </w:rPr>
      </w:pPr>
      <w:r w:rsidRPr="00451FEB">
        <w:rPr>
          <w:rFonts w:cs="Arial"/>
        </w:rPr>
        <w:t>ETSI TS 119 172-2: “Electronic Signatures and Infrastructures (ESI); Signature Policies; Part 2: XML format for signature policies”,</w:t>
      </w:r>
    </w:p>
    <w:p w14:paraId="3BE3572C" w14:textId="77777777" w:rsidR="00E46006" w:rsidRPr="00451FEB" w:rsidRDefault="00E46006" w:rsidP="00E46006">
      <w:pPr>
        <w:pStyle w:val="B1"/>
        <w:keepNext w:val="0"/>
        <w:keepLines w:val="0"/>
        <w:numPr>
          <w:ilvl w:val="0"/>
          <w:numId w:val="18"/>
        </w:numPr>
        <w:tabs>
          <w:tab w:val="left" w:pos="1418"/>
          <w:tab w:val="left" w:pos="4678"/>
          <w:tab w:val="left" w:pos="5954"/>
          <w:tab w:val="left" w:pos="7088"/>
        </w:tabs>
        <w:spacing w:after="240" w:line="240" w:lineRule="atLeast"/>
        <w:jc w:val="both"/>
        <w:rPr>
          <w:rFonts w:cs="Arial"/>
        </w:rPr>
      </w:pPr>
      <w:r w:rsidRPr="00451FEB">
        <w:rPr>
          <w:rFonts w:cs="Arial"/>
        </w:rPr>
        <w:t>ETSI TS 119 172-3: “Electronic Signatures and Infrastructures (ESI); Signature Policies; Part 3: ASN.1 format for signature policies”,</w:t>
      </w:r>
    </w:p>
    <w:p w14:paraId="1B93F659" w14:textId="77777777" w:rsidR="00E46006" w:rsidRDefault="00E46006" w:rsidP="00E46006">
      <w:pPr>
        <w:rPr>
          <w:rFonts w:cs="Arial"/>
        </w:rPr>
      </w:pPr>
      <w:r w:rsidRPr="00451FEB">
        <w:rPr>
          <w:rFonts w:cs="Arial"/>
        </w:rPr>
        <w:t>These two specifications will firstly satisfy the requirements specified in ETSI TS 119 172-1 in terms of contents, and secondly, will take into consideration the comments raised to ETSI by implementers and users of ETSI TR 102 038 and ETSI TR 102 272 regarding missing pieces, ambiguities, and potential improvements identified as a result of their usage in real systems.</w:t>
      </w:r>
    </w:p>
    <w:p w14:paraId="7D190C8D" w14:textId="77777777" w:rsidR="00451FEB" w:rsidRPr="00451FEB" w:rsidRDefault="00451FEB" w:rsidP="00E46006">
      <w:pPr>
        <w:rPr>
          <w:rFonts w:cs="Arial"/>
        </w:rPr>
      </w:pPr>
    </w:p>
    <w:p w14:paraId="165E7320" w14:textId="77777777" w:rsidR="00E46006" w:rsidRDefault="00E46006" w:rsidP="00E46006">
      <w:pPr>
        <w:pStyle w:val="Heading1"/>
        <w:keepLines w:val="0"/>
        <w:numPr>
          <w:ilvl w:val="0"/>
          <w:numId w:val="19"/>
        </w:numPr>
        <w:tabs>
          <w:tab w:val="clear" w:pos="1418"/>
        </w:tabs>
        <w:overflowPunct/>
        <w:autoSpaceDE/>
        <w:autoSpaceDN/>
        <w:adjustRightInd/>
        <w:ind w:left="567" w:hanging="567"/>
        <w:jc w:val="both"/>
        <w:textAlignment w:val="auto"/>
      </w:pPr>
      <w:r>
        <w:lastRenderedPageBreak/>
        <w:t>Market impact</w:t>
      </w:r>
    </w:p>
    <w:p w14:paraId="40734E58" w14:textId="77777777" w:rsidR="00E46006" w:rsidRPr="00483D82" w:rsidRDefault="00E46006" w:rsidP="00E46006">
      <w:r w:rsidRPr="00483D82">
        <w:t xml:space="preserve">Regulation (EU) No. 910/2014 identified the building of trust in the online environment </w:t>
      </w:r>
      <w:r>
        <w:t xml:space="preserve">as </w:t>
      </w:r>
      <w:r w:rsidRPr="00483D82">
        <w:t>key to economic and social development. Standards need to be available to ensure solutions that are interoperable and provide consistent levels of trust. If a common basis for the provision and use of trust services is not available through standards it is very likely there will be fragmentation in the market with different nations and market sectors establishing their own solutions, as has already been seen for electronic signature services operating under the earlier Directive 1999/93/EC.</w:t>
      </w:r>
    </w:p>
    <w:p w14:paraId="229156E5" w14:textId="77777777" w:rsidR="00E46006" w:rsidRDefault="00E46006" w:rsidP="00E46006">
      <w:r>
        <w:t xml:space="preserve">Without XML and ASN.1 technical specifications on formats for signature generation policy, signature augmentation policy, and signature validation policy, </w:t>
      </w:r>
      <w:r w:rsidRPr="00D006E9">
        <w:t xml:space="preserve">it will not be possible for the EU </w:t>
      </w:r>
      <w:r>
        <w:t xml:space="preserve">TSP </w:t>
      </w:r>
      <w:r w:rsidRPr="00D006E9">
        <w:t>market to provide interoperable solutions to the</w:t>
      </w:r>
      <w:r>
        <w:t xml:space="preserve"> consideration of such policies in supporting signature generation and validation applications.</w:t>
      </w:r>
    </w:p>
    <w:p w14:paraId="3CBF4943" w14:textId="51FC1375" w:rsidR="006A5009" w:rsidRDefault="00E46006" w:rsidP="00E46006">
      <w:r w:rsidRPr="00ED02CF">
        <w:t>The European work on standardisation</w:t>
      </w:r>
      <w:r w:rsidRPr="00026801">
        <w:t>, however,</w:t>
      </w:r>
      <w:r w:rsidRPr="00ED02CF">
        <w:t xml:space="preserve"> cannot be viewed in isolation. Most of the EU's </w:t>
      </w:r>
      <w:r w:rsidRPr="00026801">
        <w:t>primary</w:t>
      </w:r>
      <w:r w:rsidRPr="00ED02CF">
        <w:t xml:space="preserve"> trading partners, including notably some large emerging economies, have recognised how important standard-setting is for market access and for boosting the competitiveness of their industries, and so they invest heavily in standard-setting and certification infrastructures.</w:t>
      </w:r>
      <w:r>
        <w:t xml:space="preserve"> The promotion of European standards at international level will allow easier mutual recognition of trust services with countries which lie outside of the EU.</w:t>
      </w:r>
    </w:p>
    <w:p w14:paraId="4E834B11" w14:textId="77777777" w:rsidR="006A5009" w:rsidRDefault="006A5009">
      <w:pPr>
        <w:tabs>
          <w:tab w:val="clear" w:pos="1418"/>
          <w:tab w:val="clear" w:pos="4678"/>
          <w:tab w:val="clear" w:pos="5954"/>
          <w:tab w:val="clear" w:pos="7088"/>
        </w:tabs>
        <w:overflowPunct/>
        <w:autoSpaceDE/>
        <w:autoSpaceDN/>
        <w:adjustRightInd/>
        <w:jc w:val="left"/>
        <w:textAlignment w:val="auto"/>
      </w:pPr>
      <w:r>
        <w:br w:type="page"/>
      </w:r>
    </w:p>
    <w:p w14:paraId="172DC570" w14:textId="77777777" w:rsidR="00E46006" w:rsidRDefault="00E46006" w:rsidP="00E46006"/>
    <w:p w14:paraId="116A606A" w14:textId="2FFCE10A" w:rsidR="00E46006" w:rsidRDefault="00E46006" w:rsidP="00E46006">
      <w:pPr>
        <w:spacing w:before="240"/>
        <w:rPr>
          <w:b/>
          <w:sz w:val="28"/>
          <w:u w:val="single"/>
        </w:rPr>
      </w:pPr>
      <w:r w:rsidRPr="00795A5C">
        <w:rPr>
          <w:b/>
          <w:sz w:val="28"/>
          <w:u w:val="single"/>
        </w:rPr>
        <w:t>Part II – Execution of the work</w:t>
      </w:r>
    </w:p>
    <w:p w14:paraId="13520FCE" w14:textId="77777777" w:rsidR="006A5009" w:rsidRPr="008207D1" w:rsidRDefault="006A5009" w:rsidP="00E46006">
      <w:pPr>
        <w:spacing w:before="240"/>
        <w:rPr>
          <w:b/>
          <w:sz w:val="24"/>
          <w:szCs w:val="24"/>
          <w:u w:val="single"/>
        </w:rPr>
      </w:pPr>
    </w:p>
    <w:p w14:paraId="39018A84" w14:textId="77777777" w:rsidR="00E46006" w:rsidRDefault="00E46006" w:rsidP="00E46006">
      <w:pPr>
        <w:pStyle w:val="Heading1"/>
        <w:keepLines w:val="0"/>
        <w:numPr>
          <w:ilvl w:val="0"/>
          <w:numId w:val="19"/>
        </w:numPr>
        <w:tabs>
          <w:tab w:val="clear" w:pos="1418"/>
        </w:tabs>
        <w:overflowPunct/>
        <w:autoSpaceDE/>
        <w:autoSpaceDN/>
        <w:adjustRightInd/>
        <w:jc w:val="both"/>
        <w:textAlignment w:val="auto"/>
      </w:pPr>
      <w:r w:rsidRPr="00795A5C">
        <w:t>Working method / approach</w:t>
      </w:r>
    </w:p>
    <w:p w14:paraId="0B2BB2C9" w14:textId="77777777" w:rsidR="00E46006" w:rsidRPr="00877108" w:rsidRDefault="00E46006" w:rsidP="00E46006">
      <w:pPr>
        <w:pStyle w:val="Heading2"/>
        <w:keepLines w:val="0"/>
        <w:numPr>
          <w:ilvl w:val="1"/>
          <w:numId w:val="19"/>
        </w:numPr>
        <w:tabs>
          <w:tab w:val="clear" w:pos="1418"/>
        </w:tabs>
        <w:overflowPunct/>
        <w:autoSpaceDE/>
        <w:autoSpaceDN/>
        <w:adjustRightInd/>
        <w:textAlignment w:val="auto"/>
      </w:pPr>
      <w:r w:rsidRPr="00877108">
        <w:t>Specialist Task Force (STF)</w:t>
      </w:r>
    </w:p>
    <w:p w14:paraId="267691C7" w14:textId="77777777" w:rsidR="00E46006" w:rsidRDefault="00E46006" w:rsidP="00E46006">
      <w:r w:rsidRPr="00D006E9">
        <w:t>ETSI will perform</w:t>
      </w:r>
      <w:r w:rsidRPr="00D006E9">
        <w:rPr>
          <w:color w:val="244061"/>
        </w:rPr>
        <w:t xml:space="preserve"> </w:t>
      </w:r>
      <w:r w:rsidRPr="00D006E9">
        <w:t xml:space="preserve">this work </w:t>
      </w:r>
      <w:r>
        <w:t>with the support of</w:t>
      </w:r>
      <w:r w:rsidRPr="00D006E9">
        <w:t xml:space="preserve"> an ETSI STF, reporting the milestones to the ETSI ESI Technical Committee (</w:t>
      </w:r>
      <w:r>
        <w:t>TC ESI</w:t>
      </w:r>
      <w:r w:rsidRPr="00D006E9">
        <w:t xml:space="preserve">), according to the planned TC meeting agenda (as described in clause 7) and additional dates agreed by the </w:t>
      </w:r>
      <w:r w:rsidRPr="00026801">
        <w:t>TB chairman</w:t>
      </w:r>
      <w:r w:rsidRPr="00D006E9">
        <w:t xml:space="preserve">. </w:t>
      </w:r>
      <w:r>
        <w:t>TC ESI</w:t>
      </w:r>
      <w:r w:rsidRPr="00D006E9">
        <w:t xml:space="preserve"> will </w:t>
      </w:r>
      <w:r>
        <w:t>play</w:t>
      </w:r>
      <w:r w:rsidRPr="00D006E9">
        <w:t xml:space="preserve"> an active role in steering and contributing to this work.</w:t>
      </w:r>
      <w:r>
        <w:t xml:space="preserve">  </w:t>
      </w:r>
    </w:p>
    <w:p w14:paraId="2DC34115" w14:textId="5288C7AE" w:rsidR="00E46006" w:rsidRDefault="00E46006" w:rsidP="00E46006">
      <w:r>
        <w:t xml:space="preserve">Coordination with various stakeholders including European member states, standards organizations and European projects will be necessary to achieve the best outcome of this work and the widest possible collection of views amongst all parties concerned (see section 7 for further details). In particular, the STF, under TC ESI supervision, will aim to continue liaison with obvious EU stakeholders including the Member State and EU commission representatives through the </w:t>
      </w:r>
      <w:proofErr w:type="spellStart"/>
      <w:r>
        <w:t>eIDAS</w:t>
      </w:r>
      <w:proofErr w:type="spellEnd"/>
      <w:r>
        <w:t xml:space="preserve"> (technical) experts group, and </w:t>
      </w:r>
      <w:r w:rsidRPr="000F0CD3">
        <w:t>CEF PKI-related building blocks</w:t>
      </w:r>
      <w:r>
        <w:t>, as well as working with stakeholders in the global PKI schemes listed in section 2.1 of this proposal.</w:t>
      </w:r>
    </w:p>
    <w:p w14:paraId="64614529" w14:textId="77777777" w:rsidR="006A5009" w:rsidRDefault="006A5009" w:rsidP="00E46006"/>
    <w:p w14:paraId="36A4888A" w14:textId="77777777" w:rsidR="00E46006" w:rsidRPr="00E60B3F" w:rsidRDefault="00E46006" w:rsidP="00E46006">
      <w:pPr>
        <w:pStyle w:val="Heading2"/>
        <w:keepLines w:val="0"/>
        <w:numPr>
          <w:ilvl w:val="1"/>
          <w:numId w:val="19"/>
        </w:numPr>
        <w:tabs>
          <w:tab w:val="clear" w:pos="1418"/>
        </w:tabs>
        <w:overflowPunct/>
        <w:autoSpaceDE/>
        <w:autoSpaceDN/>
        <w:adjustRightInd/>
        <w:textAlignment w:val="auto"/>
      </w:pPr>
      <w:r w:rsidRPr="00E60B3F">
        <w:t>Other types of activity than STFs</w:t>
      </w:r>
    </w:p>
    <w:p w14:paraId="6116DBAA" w14:textId="77777777" w:rsidR="00E46006" w:rsidRPr="00E60B3F" w:rsidRDefault="00E46006" w:rsidP="00E46006">
      <w:pPr>
        <w:rPr>
          <w:i/>
        </w:rPr>
      </w:pPr>
      <w:r w:rsidRPr="00E60B3F">
        <w:t>The E-SIGNATURES_NEWS mailing list, set up during phase I of the execution of Mandate M/460, will continue to exist and will be used to keep stakeholders informed on the progress of the work. Stakeholders will be consulted at various points during the work. They will in particular be consulted when drafts of the deliverables are issued for public comment so as to get their comments and feedback (this may not apply to all deliverables). The drafts will therefore be made publicly available on the ETSI TC</w:t>
      </w:r>
      <w:r>
        <w:t xml:space="preserve"> </w:t>
      </w:r>
      <w:r w:rsidRPr="00E60B3F">
        <w:t>ESI open server area at a number of stages throughout its development when agreed by TC</w:t>
      </w:r>
      <w:r>
        <w:t xml:space="preserve"> </w:t>
      </w:r>
      <w:r w:rsidRPr="00E60B3F">
        <w:t>ESI. Electronic comments will be encouraged via the contact list. A register of comments received through this list will be maintained by the STF.</w:t>
      </w:r>
    </w:p>
    <w:p w14:paraId="44F5F82D" w14:textId="4FCE0082" w:rsidR="00E46006" w:rsidRDefault="00E46006" w:rsidP="00E46006">
      <w:r>
        <w:t>Members of the STF will attend meetings relating to key global PKI schemes and international workshops will be organised to bring in stakeholders from global schemes.</w:t>
      </w:r>
    </w:p>
    <w:p w14:paraId="2CF64CD3" w14:textId="77777777" w:rsidR="006A5009" w:rsidRDefault="006A5009" w:rsidP="00E46006"/>
    <w:p w14:paraId="2B3EB402" w14:textId="77777777" w:rsidR="00E46006" w:rsidRPr="00E60B3F" w:rsidRDefault="00E46006" w:rsidP="00E46006">
      <w:pPr>
        <w:pStyle w:val="Heading2"/>
        <w:keepLines w:val="0"/>
        <w:numPr>
          <w:ilvl w:val="1"/>
          <w:numId w:val="19"/>
        </w:numPr>
        <w:tabs>
          <w:tab w:val="clear" w:pos="1418"/>
        </w:tabs>
        <w:overflowPunct/>
        <w:autoSpaceDE/>
        <w:autoSpaceDN/>
        <w:adjustRightInd/>
        <w:jc w:val="both"/>
        <w:textAlignment w:val="auto"/>
      </w:pPr>
      <w:r w:rsidRPr="00E60B3F">
        <w:t>Expert</w:t>
      </w:r>
      <w:r>
        <w:t>i</w:t>
      </w:r>
      <w:r w:rsidRPr="00E60B3F">
        <w:t>s</w:t>
      </w:r>
      <w:r>
        <w:t>e</w:t>
      </w:r>
      <w:r w:rsidRPr="00E60B3F">
        <w:t xml:space="preserve"> </w:t>
      </w:r>
      <w:r>
        <w:t>required, (</w:t>
      </w:r>
      <w:r w:rsidRPr="00E60B3F">
        <w:t>qualification required, mix of skills</w:t>
      </w:r>
      <w:r>
        <w:t>)</w:t>
      </w:r>
    </w:p>
    <w:p w14:paraId="1F8C8C84" w14:textId="77777777" w:rsidR="00E46006" w:rsidRPr="00E60B3F" w:rsidRDefault="00E46006" w:rsidP="00E46006">
      <w:pPr>
        <w:rPr>
          <w:lang w:eastAsia="fr-BE"/>
        </w:rPr>
      </w:pPr>
      <w:r w:rsidRPr="00D006E9">
        <w:t xml:space="preserve">The STF work will be performed </w:t>
      </w:r>
      <w:r>
        <w:t>by a team of contracted providers</w:t>
      </w:r>
      <w:r w:rsidRPr="00E60B3F">
        <w:rPr>
          <w:lang w:eastAsia="fr-BE"/>
        </w:rPr>
        <w:t xml:space="preserve">. </w:t>
      </w:r>
      <w:r>
        <w:rPr>
          <w:lang w:eastAsia="fr-BE"/>
        </w:rPr>
        <w:t xml:space="preserve">The providers </w:t>
      </w:r>
      <w:r w:rsidRPr="00D006E9">
        <w:rPr>
          <w:lang w:eastAsia="fr-BE"/>
        </w:rPr>
        <w:t xml:space="preserve">will </w:t>
      </w:r>
      <w:r>
        <w:rPr>
          <w:lang w:eastAsia="fr-BE"/>
        </w:rPr>
        <w:t>be selected to</w:t>
      </w:r>
      <w:r w:rsidRPr="00E60B3F">
        <w:rPr>
          <w:lang w:eastAsia="fr-BE"/>
        </w:rPr>
        <w:t xml:space="preserve"> possess an in-depth established knowledge of the following domains:</w:t>
      </w:r>
    </w:p>
    <w:p w14:paraId="6DF76AFC" w14:textId="77777777" w:rsidR="00E46006" w:rsidRPr="00E60B3F" w:rsidRDefault="00E46006" w:rsidP="00E46006">
      <w:pPr>
        <w:pStyle w:val="B1"/>
        <w:keepNext w:val="0"/>
        <w:keepLines w:val="0"/>
        <w:numPr>
          <w:ilvl w:val="0"/>
          <w:numId w:val="18"/>
        </w:numPr>
        <w:tabs>
          <w:tab w:val="left" w:pos="1418"/>
          <w:tab w:val="left" w:pos="4678"/>
          <w:tab w:val="left" w:pos="5954"/>
          <w:tab w:val="left" w:pos="7088"/>
        </w:tabs>
        <w:spacing w:after="240" w:line="240" w:lineRule="atLeast"/>
        <w:jc w:val="both"/>
      </w:pPr>
      <w:r w:rsidRPr="00E60B3F">
        <w:t>Signature Policies:</w:t>
      </w:r>
    </w:p>
    <w:p w14:paraId="47D026E1" w14:textId="77777777" w:rsidR="00E46006" w:rsidRPr="00E60B3F" w:rsidRDefault="00E46006" w:rsidP="00E46006">
      <w:pPr>
        <w:pStyle w:val="B1"/>
        <w:keepNext w:val="0"/>
        <w:keepLines w:val="0"/>
        <w:numPr>
          <w:ilvl w:val="1"/>
          <w:numId w:val="18"/>
        </w:numPr>
        <w:tabs>
          <w:tab w:val="left" w:pos="1418"/>
          <w:tab w:val="left" w:pos="4678"/>
          <w:tab w:val="left" w:pos="5954"/>
          <w:tab w:val="left" w:pos="7088"/>
        </w:tabs>
        <w:spacing w:after="240" w:line="240" w:lineRule="atLeast"/>
        <w:jc w:val="both"/>
      </w:pPr>
      <w:r w:rsidRPr="00E60B3F">
        <w:t>ETSI TS 119 172-1.</w:t>
      </w:r>
    </w:p>
    <w:p w14:paraId="17705DC8" w14:textId="77777777" w:rsidR="00E46006" w:rsidRPr="00E60B3F" w:rsidRDefault="00E46006" w:rsidP="00E46006">
      <w:pPr>
        <w:pStyle w:val="B1"/>
        <w:keepNext w:val="0"/>
        <w:keepLines w:val="0"/>
        <w:numPr>
          <w:ilvl w:val="1"/>
          <w:numId w:val="18"/>
        </w:numPr>
        <w:tabs>
          <w:tab w:val="left" w:pos="1418"/>
          <w:tab w:val="left" w:pos="4678"/>
          <w:tab w:val="left" w:pos="5954"/>
          <w:tab w:val="left" w:pos="7088"/>
        </w:tabs>
        <w:spacing w:after="240" w:line="240" w:lineRule="atLeast"/>
        <w:jc w:val="both"/>
      </w:pPr>
      <w:r w:rsidRPr="00E60B3F">
        <w:t>ETSI TR 102 038 and ETSI TR 102 272.</w:t>
      </w:r>
    </w:p>
    <w:p w14:paraId="4CCA858A" w14:textId="77777777" w:rsidR="00E46006" w:rsidRPr="00E60B3F" w:rsidRDefault="00E46006" w:rsidP="00E46006">
      <w:pPr>
        <w:pStyle w:val="B1"/>
        <w:keepNext w:val="0"/>
        <w:keepLines w:val="0"/>
        <w:numPr>
          <w:ilvl w:val="1"/>
          <w:numId w:val="18"/>
        </w:numPr>
        <w:tabs>
          <w:tab w:val="left" w:pos="1418"/>
          <w:tab w:val="left" w:pos="4678"/>
          <w:tab w:val="left" w:pos="5954"/>
          <w:tab w:val="left" w:pos="7088"/>
        </w:tabs>
        <w:spacing w:after="240" w:line="240" w:lineRule="atLeast"/>
        <w:jc w:val="both"/>
      </w:pPr>
      <w:r w:rsidRPr="00E60B3F">
        <w:t>XML and ASN.1.</w:t>
      </w:r>
    </w:p>
    <w:p w14:paraId="1071EEB4" w14:textId="77777777" w:rsidR="00E46006" w:rsidRDefault="00E46006" w:rsidP="00E46006">
      <w:pPr>
        <w:pStyle w:val="B1"/>
        <w:keepNext w:val="0"/>
        <w:keepLines w:val="0"/>
        <w:numPr>
          <w:ilvl w:val="1"/>
          <w:numId w:val="18"/>
        </w:numPr>
        <w:tabs>
          <w:tab w:val="left" w:pos="1418"/>
          <w:tab w:val="left" w:pos="4678"/>
          <w:tab w:val="left" w:pos="5954"/>
          <w:tab w:val="left" w:pos="7088"/>
        </w:tabs>
        <w:spacing w:after="240" w:line="240" w:lineRule="atLeast"/>
        <w:jc w:val="both"/>
      </w:pPr>
      <w:r w:rsidRPr="00E60B3F">
        <w:t>digital signature formats, especially ETSI EN 319 122 (</w:t>
      </w:r>
      <w:proofErr w:type="spellStart"/>
      <w:r w:rsidRPr="00E60B3F">
        <w:t>CAdES</w:t>
      </w:r>
      <w:proofErr w:type="spellEnd"/>
      <w:r w:rsidRPr="00E60B3F">
        <w:t>), ETSI EN 319 132 (</w:t>
      </w:r>
      <w:proofErr w:type="spellStart"/>
      <w:r w:rsidRPr="00E60B3F">
        <w:t>XAdES</w:t>
      </w:r>
      <w:proofErr w:type="spellEnd"/>
      <w:r w:rsidRPr="00E60B3F">
        <w:t>), and ETSI EN 319 142 (</w:t>
      </w:r>
      <w:proofErr w:type="spellStart"/>
      <w:r w:rsidRPr="00E60B3F">
        <w:t>PAdES</w:t>
      </w:r>
      <w:proofErr w:type="spellEnd"/>
      <w:r w:rsidRPr="00E60B3F">
        <w:t>), and associated containers as specified in ETSI EN 319 162 (</w:t>
      </w:r>
      <w:proofErr w:type="spellStart"/>
      <w:r w:rsidRPr="00E60B3F">
        <w:t>ASiC</w:t>
      </w:r>
      <w:proofErr w:type="spellEnd"/>
      <w:r w:rsidRPr="00E60B3F">
        <w:t>).</w:t>
      </w:r>
    </w:p>
    <w:p w14:paraId="7DDF349F" w14:textId="77777777" w:rsidR="00E46006" w:rsidRPr="00E60B3F" w:rsidRDefault="00E46006" w:rsidP="00E46006">
      <w:pPr>
        <w:pStyle w:val="B1"/>
        <w:keepNext w:val="0"/>
        <w:keepLines w:val="0"/>
        <w:numPr>
          <w:ilvl w:val="1"/>
          <w:numId w:val="18"/>
        </w:numPr>
        <w:tabs>
          <w:tab w:val="left" w:pos="1418"/>
          <w:tab w:val="left" w:pos="4678"/>
          <w:tab w:val="left" w:pos="5954"/>
          <w:tab w:val="left" w:pos="7088"/>
        </w:tabs>
        <w:spacing w:after="240" w:line="240" w:lineRule="atLeast"/>
        <w:jc w:val="both"/>
      </w:pPr>
      <w:r>
        <w:t>ETSI EN 319 102-1.</w:t>
      </w:r>
    </w:p>
    <w:p w14:paraId="76F2B1AB" w14:textId="77777777" w:rsidR="00E46006" w:rsidRPr="00E60B3F" w:rsidRDefault="00E46006" w:rsidP="00E46006">
      <w:pPr>
        <w:pStyle w:val="B1"/>
        <w:keepNext w:val="0"/>
        <w:keepLines w:val="0"/>
        <w:numPr>
          <w:ilvl w:val="0"/>
          <w:numId w:val="18"/>
        </w:numPr>
        <w:tabs>
          <w:tab w:val="left" w:pos="1418"/>
          <w:tab w:val="left" w:pos="4678"/>
          <w:tab w:val="left" w:pos="5954"/>
          <w:tab w:val="left" w:pos="7088"/>
        </w:tabs>
        <w:spacing w:after="240" w:line="240" w:lineRule="atLeast"/>
        <w:jc w:val="both"/>
      </w:pPr>
      <w:r w:rsidRPr="00E60B3F">
        <w:t>Internationalisation of EU trust services:</w:t>
      </w:r>
    </w:p>
    <w:p w14:paraId="5796DB57" w14:textId="77777777" w:rsidR="00E46006" w:rsidRPr="00E60B3F" w:rsidRDefault="00E46006" w:rsidP="00E46006">
      <w:pPr>
        <w:pStyle w:val="B1"/>
        <w:keepNext w:val="0"/>
        <w:keepLines w:val="0"/>
        <w:numPr>
          <w:ilvl w:val="1"/>
          <w:numId w:val="18"/>
        </w:numPr>
        <w:tabs>
          <w:tab w:val="left" w:pos="1418"/>
          <w:tab w:val="left" w:pos="4678"/>
          <w:tab w:val="left" w:pos="5954"/>
          <w:tab w:val="left" w:pos="7088"/>
        </w:tabs>
        <w:spacing w:after="240" w:line="240" w:lineRule="atLeast"/>
        <w:jc w:val="both"/>
      </w:pPr>
      <w:r w:rsidRPr="00E60B3F">
        <w:t>ETSI EN 319 411</w:t>
      </w:r>
      <w:r>
        <w:t>, EN 319 403, EN 319 401</w:t>
      </w:r>
      <w:r w:rsidRPr="00E60B3F">
        <w:t>.</w:t>
      </w:r>
    </w:p>
    <w:p w14:paraId="516979F0" w14:textId="77777777" w:rsidR="00E46006" w:rsidRPr="00E60B3F" w:rsidRDefault="00E46006" w:rsidP="00E46006">
      <w:pPr>
        <w:pStyle w:val="B1"/>
        <w:keepNext w:val="0"/>
        <w:keepLines w:val="0"/>
        <w:numPr>
          <w:ilvl w:val="1"/>
          <w:numId w:val="18"/>
        </w:numPr>
        <w:tabs>
          <w:tab w:val="left" w:pos="1418"/>
          <w:tab w:val="left" w:pos="4678"/>
          <w:tab w:val="left" w:pos="5954"/>
          <w:tab w:val="left" w:pos="7088"/>
        </w:tabs>
        <w:spacing w:after="240" w:line="240" w:lineRule="atLeast"/>
        <w:jc w:val="both"/>
      </w:pPr>
      <w:r>
        <w:t xml:space="preserve">Alternative conformity assessment schemes such as </w:t>
      </w:r>
      <w:proofErr w:type="spellStart"/>
      <w:r w:rsidRPr="00E60B3F">
        <w:t>WebTrust</w:t>
      </w:r>
      <w:proofErr w:type="spellEnd"/>
      <w:r w:rsidRPr="00E60B3F">
        <w:t xml:space="preserve"> for Certification Authorities Principles and Criteria</w:t>
      </w:r>
      <w:r>
        <w:t xml:space="preserve"> and ISO/IEC 27000</w:t>
      </w:r>
      <w:r w:rsidRPr="00E60B3F">
        <w:t>.</w:t>
      </w:r>
    </w:p>
    <w:p w14:paraId="5677C427" w14:textId="77777777" w:rsidR="00E46006" w:rsidRPr="00E60B3F" w:rsidRDefault="00E46006" w:rsidP="00E46006">
      <w:pPr>
        <w:pStyle w:val="B1"/>
        <w:keepNext w:val="0"/>
        <w:keepLines w:val="0"/>
        <w:numPr>
          <w:ilvl w:val="1"/>
          <w:numId w:val="18"/>
        </w:numPr>
        <w:tabs>
          <w:tab w:val="left" w:pos="1418"/>
          <w:tab w:val="left" w:pos="4678"/>
          <w:tab w:val="left" w:pos="5954"/>
          <w:tab w:val="left" w:pos="7088"/>
        </w:tabs>
        <w:spacing w:after="240" w:line="240" w:lineRule="atLeast"/>
        <w:jc w:val="both"/>
      </w:pPr>
      <w:r w:rsidRPr="00E60B3F">
        <w:lastRenderedPageBreak/>
        <w:t>Trust service status list concepts and specifications</w:t>
      </w:r>
      <w:r>
        <w:t xml:space="preserve"> (ETSI TS 119 612)</w:t>
      </w:r>
      <w:r w:rsidRPr="00E60B3F">
        <w:t>.</w:t>
      </w:r>
    </w:p>
    <w:p w14:paraId="4BACEF73" w14:textId="77777777" w:rsidR="00E46006" w:rsidRPr="00877108" w:rsidRDefault="00E46006" w:rsidP="00E46006">
      <w:pPr>
        <w:pStyle w:val="B1"/>
        <w:keepNext w:val="0"/>
        <w:keepLines w:val="0"/>
        <w:numPr>
          <w:ilvl w:val="1"/>
          <w:numId w:val="18"/>
        </w:numPr>
        <w:tabs>
          <w:tab w:val="left" w:pos="1418"/>
          <w:tab w:val="left" w:pos="4678"/>
          <w:tab w:val="left" w:pos="5954"/>
          <w:tab w:val="left" w:pos="7088"/>
        </w:tabs>
        <w:spacing w:after="240" w:line="240" w:lineRule="atLeast"/>
        <w:jc w:val="both"/>
      </w:pPr>
      <w:r w:rsidRPr="001F3863">
        <w:t>Internationally significant PKI schemes such as those listed in section 2.1</w:t>
      </w:r>
    </w:p>
    <w:p w14:paraId="446ADC1A" w14:textId="77777777" w:rsidR="00E46006" w:rsidRDefault="00E46006" w:rsidP="00E46006">
      <w:pPr>
        <w:pStyle w:val="B1"/>
        <w:keepNext w:val="0"/>
        <w:keepLines w:val="0"/>
        <w:numPr>
          <w:ilvl w:val="0"/>
          <w:numId w:val="18"/>
        </w:numPr>
        <w:tabs>
          <w:tab w:val="left" w:pos="1418"/>
          <w:tab w:val="left" w:pos="4678"/>
          <w:tab w:val="left" w:pos="5954"/>
          <w:tab w:val="left" w:pos="7088"/>
        </w:tabs>
        <w:spacing w:after="240" w:line="240" w:lineRule="atLeast"/>
        <w:jc w:val="both"/>
        <w:rPr>
          <w:lang w:eastAsia="fr-BE"/>
        </w:rPr>
      </w:pPr>
      <w:r>
        <w:rPr>
          <w:lang w:eastAsia="fr-BE"/>
        </w:rPr>
        <w:t>The team will also provide c</w:t>
      </w:r>
      <w:r w:rsidRPr="00D006E9">
        <w:rPr>
          <w:lang w:eastAsia="fr-BE"/>
        </w:rPr>
        <w:t xml:space="preserve">apability in </w:t>
      </w:r>
      <w:r w:rsidRPr="00D006E9">
        <w:t>project management, report writing, consensus building, presentation skills, working in an international environment</w:t>
      </w:r>
      <w:r w:rsidRPr="00D006E9">
        <w:rPr>
          <w:lang w:eastAsia="fr-BE"/>
        </w:rPr>
        <w:t xml:space="preserve"> and experience in liaising with other international organisations.</w:t>
      </w:r>
    </w:p>
    <w:p w14:paraId="528ABCAB" w14:textId="77777777" w:rsidR="00E46006" w:rsidRPr="00D006E9" w:rsidRDefault="00E46006" w:rsidP="00E46006">
      <w:r w:rsidRPr="00D006E9">
        <w:t xml:space="preserve">The STF Leader will be responsible for co-ordinating the execution of the tasks assigned to the individual </w:t>
      </w:r>
      <w:r>
        <w:t>providers</w:t>
      </w:r>
      <w:r w:rsidRPr="00D006E9">
        <w:t xml:space="preserve">, according to the requirements in the </w:t>
      </w:r>
      <w:r>
        <w:t>technical annex of the action grant</w:t>
      </w:r>
      <w:r w:rsidRPr="00D006E9">
        <w:t xml:space="preserve"> and following the technical direction given by TC ESI.</w:t>
      </w:r>
    </w:p>
    <w:p w14:paraId="2F74C330" w14:textId="77777777" w:rsidR="00E46006" w:rsidRPr="00D006E9" w:rsidRDefault="00E46006" w:rsidP="00E46006">
      <w:pPr>
        <w:pStyle w:val="B0"/>
        <w:rPr>
          <w:lang w:eastAsia="fr-BE"/>
        </w:rPr>
      </w:pPr>
      <w:r w:rsidRPr="00D006E9">
        <w:rPr>
          <w:lang w:eastAsia="fr-BE"/>
        </w:rPr>
        <w:t>The other experts will be organised in the following STF Tasks (or group of tasks):</w:t>
      </w:r>
    </w:p>
    <w:p w14:paraId="2D70E4D3" w14:textId="77777777" w:rsidR="00E46006" w:rsidRDefault="00E46006" w:rsidP="00E46006">
      <w:pPr>
        <w:numPr>
          <w:ilvl w:val="0"/>
          <w:numId w:val="24"/>
        </w:numPr>
        <w:tabs>
          <w:tab w:val="clear" w:pos="1418"/>
          <w:tab w:val="clear" w:pos="4678"/>
          <w:tab w:val="clear" w:pos="5954"/>
          <w:tab w:val="clear" w:pos="7088"/>
        </w:tabs>
        <w:overflowPunct/>
        <w:autoSpaceDE/>
        <w:autoSpaceDN/>
        <w:adjustRightInd/>
        <w:spacing w:after="240"/>
        <w:textAlignment w:val="auto"/>
      </w:pPr>
      <w:r>
        <w:t>STF Lead.</w:t>
      </w:r>
    </w:p>
    <w:p w14:paraId="5F074B11" w14:textId="77777777" w:rsidR="00E46006" w:rsidRDefault="00E46006" w:rsidP="00E46006">
      <w:pPr>
        <w:numPr>
          <w:ilvl w:val="0"/>
          <w:numId w:val="24"/>
        </w:numPr>
        <w:tabs>
          <w:tab w:val="clear" w:pos="1418"/>
          <w:tab w:val="clear" w:pos="4678"/>
          <w:tab w:val="clear" w:pos="5954"/>
          <w:tab w:val="clear" w:pos="7088"/>
        </w:tabs>
        <w:overflowPunct/>
        <w:autoSpaceDE/>
        <w:autoSpaceDN/>
        <w:adjustRightInd/>
        <w:spacing w:after="240"/>
        <w:textAlignment w:val="auto"/>
      </w:pPr>
      <w:r>
        <w:t xml:space="preserve">Production of ETSI TS 119 172-2 </w:t>
      </w:r>
    </w:p>
    <w:p w14:paraId="35D7B1E7" w14:textId="77777777" w:rsidR="00E46006" w:rsidRPr="005B5904" w:rsidRDefault="00E46006" w:rsidP="00E46006">
      <w:pPr>
        <w:numPr>
          <w:ilvl w:val="0"/>
          <w:numId w:val="24"/>
        </w:numPr>
        <w:tabs>
          <w:tab w:val="clear" w:pos="1418"/>
          <w:tab w:val="clear" w:pos="4678"/>
          <w:tab w:val="clear" w:pos="5954"/>
          <w:tab w:val="clear" w:pos="7088"/>
        </w:tabs>
        <w:overflowPunct/>
        <w:autoSpaceDE/>
        <w:autoSpaceDN/>
        <w:adjustRightInd/>
        <w:spacing w:after="240"/>
        <w:textAlignment w:val="auto"/>
      </w:pPr>
      <w:r w:rsidRPr="005B5904">
        <w:t xml:space="preserve">Production of ETSI TS 119 172-3 </w:t>
      </w:r>
    </w:p>
    <w:p w14:paraId="2ED0C5E2" w14:textId="77777777" w:rsidR="00E46006" w:rsidRPr="00877108" w:rsidRDefault="00E46006" w:rsidP="00E46006">
      <w:pPr>
        <w:numPr>
          <w:ilvl w:val="0"/>
          <w:numId w:val="24"/>
        </w:numPr>
        <w:tabs>
          <w:tab w:val="clear" w:pos="1418"/>
          <w:tab w:val="clear" w:pos="4678"/>
          <w:tab w:val="clear" w:pos="5954"/>
          <w:tab w:val="clear" w:pos="7088"/>
        </w:tabs>
        <w:overflowPunct/>
        <w:autoSpaceDE/>
        <w:autoSpaceDN/>
        <w:adjustRightInd/>
        <w:spacing w:after="240"/>
        <w:textAlignment w:val="auto"/>
      </w:pPr>
      <w:r>
        <w:t>Production of</w:t>
      </w:r>
      <w:r w:rsidRPr="005B5904">
        <w:t xml:space="preserve"> DTR/ESI-000123</w:t>
      </w:r>
      <w:r w:rsidRPr="00877108">
        <w:t xml:space="preserve">, </w:t>
      </w:r>
      <w:r w:rsidRPr="005B5904">
        <w:t>Technical Report on Global Acceptance of EU Trust Ser</w:t>
      </w:r>
      <w:r w:rsidRPr="00215670">
        <w:t xml:space="preserve">vices </w:t>
      </w:r>
    </w:p>
    <w:p w14:paraId="1A443636" w14:textId="77777777" w:rsidR="00E46006" w:rsidRDefault="00E46006" w:rsidP="00E46006">
      <w:pPr>
        <w:numPr>
          <w:ilvl w:val="0"/>
          <w:numId w:val="24"/>
        </w:numPr>
        <w:tabs>
          <w:tab w:val="clear" w:pos="1418"/>
          <w:tab w:val="clear" w:pos="4678"/>
          <w:tab w:val="clear" w:pos="5954"/>
          <w:tab w:val="clear" w:pos="7088"/>
        </w:tabs>
        <w:overflowPunct/>
        <w:autoSpaceDE/>
        <w:autoSpaceDN/>
        <w:adjustRightInd/>
        <w:spacing w:after="240"/>
        <w:textAlignment w:val="auto"/>
      </w:pPr>
      <w:r w:rsidRPr="005B5904">
        <w:t>Workshop</w:t>
      </w:r>
      <w:r w:rsidRPr="00877108">
        <w:t>s</w:t>
      </w:r>
      <w:r w:rsidRPr="005B5904">
        <w:t xml:space="preserve"> on</w:t>
      </w:r>
      <w:r>
        <w:t xml:space="preserve"> </w:t>
      </w:r>
      <w:r w:rsidRPr="00086E8C">
        <w:t>Global Acceptance of EU Trust Services</w:t>
      </w:r>
    </w:p>
    <w:p w14:paraId="45E0778E" w14:textId="77777777" w:rsidR="00E46006" w:rsidRPr="00FA2920" w:rsidRDefault="00E46006" w:rsidP="00E46006">
      <w:pPr>
        <w:pStyle w:val="Heading2"/>
        <w:keepLines w:val="0"/>
        <w:numPr>
          <w:ilvl w:val="1"/>
          <w:numId w:val="19"/>
        </w:numPr>
        <w:tabs>
          <w:tab w:val="clear" w:pos="1418"/>
        </w:tabs>
        <w:overflowPunct/>
        <w:autoSpaceDE/>
        <w:autoSpaceDN/>
        <w:adjustRightInd/>
        <w:jc w:val="both"/>
        <w:textAlignment w:val="auto"/>
      </w:pPr>
      <w:r>
        <w:t>Previous</w:t>
      </w:r>
      <w:r w:rsidRPr="00FA2920">
        <w:t xml:space="preserve"> work</w:t>
      </w:r>
    </w:p>
    <w:p w14:paraId="4F57566E" w14:textId="77777777" w:rsidR="00E46006" w:rsidRDefault="00E46006" w:rsidP="00E46006">
      <w:pPr>
        <w:rPr>
          <w:highlight w:val="yellow"/>
        </w:rPr>
      </w:pPr>
      <w:r>
        <w:t>ETSI TC ESI published in 2002 ETSI TR 102 038: “</w:t>
      </w:r>
      <w:r w:rsidRPr="00B91BB7">
        <w:t>TC Security - Electronic Signatures and Infrastructures (ESI); XML format for signature policies</w:t>
      </w:r>
      <w:r>
        <w:t>”, which defined an XML Schema for defining a signature policy. In 2003, ETSI TC ESI published ETSI TR 102 272: “</w:t>
      </w:r>
      <w:r w:rsidRPr="00B91BB7">
        <w:t xml:space="preserve">Electronic Signatures and Infrastructures (ESI); </w:t>
      </w:r>
      <w:r>
        <w:t>ASN.1</w:t>
      </w:r>
      <w:r w:rsidRPr="00B91BB7">
        <w:t xml:space="preserve"> format for signature policies</w:t>
      </w:r>
      <w:r>
        <w:t>”, which defined an ASN.1 structure for defining a signature policy. In 2015, ETSI TC ESI published ETSI TS 119 172-1: “Signature Policies; Part 1: Building blocks and table of contents for human readable signature policy documents”.</w:t>
      </w:r>
    </w:p>
    <w:p w14:paraId="649B9D9D" w14:textId="2C2F7CD9" w:rsidR="00E46006" w:rsidRDefault="00E46006" w:rsidP="00E46006">
      <w:r>
        <w:t xml:space="preserve">For a number of years ETSI has been developing policy requirements standards for EU trust services starting in 2000 with the first version of TS 101 456 which was specifically aimed at requirements for PKI services meeting the specific requirements of Directive 1999/93. Since then ETSI has worked with other parties such as the US federal PKI and the CA Browser Forum to produce standards which are more appropriate to the global environment in particular TS 102 042 which was derived from TS 101 456. With the introduction of the new </w:t>
      </w:r>
      <w:proofErr w:type="spellStart"/>
      <w:r>
        <w:t>eIDAS</w:t>
      </w:r>
      <w:proofErr w:type="spellEnd"/>
      <w:r>
        <w:t xml:space="preserve"> Regulation 910/2014 a new European standard was produced EN 319 411 for Trust Service Providers (TSPs) issuing (PKI) certificates with part 1 being aimed at the general market and part 2 addressing specific requirements of the regulation. Generic policy requirements for TSP was placed in EN 319 401 which was referenced by EN 319 411 as appropriate to TSPs issuing certificates. At the same time new standards were produced for conformity assessment of Trust Service Providers (EN 319 403) and for trusted lists of TSPs (TS 119 612).  There has been some success with obtaining some cross recognition of these new services in some international schemes (e.g. CAB Forum and </w:t>
      </w:r>
      <w:proofErr w:type="spellStart"/>
      <w:r>
        <w:t>SafeBiopharma</w:t>
      </w:r>
      <w:proofErr w:type="spellEnd"/>
      <w:r>
        <w:t>). However, there remain barriers to full cross recognition, particularly for qualified trust services and use of trusted lists</w:t>
      </w:r>
      <w:r w:rsidRPr="00124ABB">
        <w:t xml:space="preserve"> </w:t>
      </w:r>
      <w:r>
        <w:t>outside</w:t>
      </w:r>
      <w:r w:rsidRPr="00124ABB">
        <w:t xml:space="preserve"> </w:t>
      </w:r>
      <w:r>
        <w:t>the EU, and there is as yet not acceptance of the work of ETSI in the International Standards forum.</w:t>
      </w:r>
    </w:p>
    <w:p w14:paraId="34D550BF" w14:textId="77777777" w:rsidR="006A5009" w:rsidRDefault="006A5009" w:rsidP="00E46006"/>
    <w:p w14:paraId="40FA8034" w14:textId="77777777" w:rsidR="00E46006" w:rsidRPr="00FA2920" w:rsidRDefault="00E46006" w:rsidP="00E46006">
      <w:pPr>
        <w:pStyle w:val="Heading1"/>
        <w:keepLines w:val="0"/>
        <w:numPr>
          <w:ilvl w:val="0"/>
          <w:numId w:val="19"/>
        </w:numPr>
        <w:tabs>
          <w:tab w:val="clear" w:pos="1418"/>
        </w:tabs>
        <w:overflowPunct/>
        <w:autoSpaceDE/>
        <w:autoSpaceDN/>
        <w:adjustRightInd/>
        <w:jc w:val="both"/>
        <w:textAlignment w:val="auto"/>
      </w:pPr>
      <w:r w:rsidRPr="00FA2920">
        <w:t>Performance indicators</w:t>
      </w:r>
    </w:p>
    <w:p w14:paraId="65152181" w14:textId="77777777" w:rsidR="00E46006" w:rsidRPr="00D006E9" w:rsidRDefault="00E46006" w:rsidP="00E46006">
      <w:pPr>
        <w:rPr>
          <w:szCs w:val="24"/>
          <w:lang w:eastAsia="fr-BE"/>
        </w:rPr>
      </w:pPr>
      <w:r w:rsidRPr="00D006E9">
        <w:rPr>
          <w:szCs w:val="24"/>
          <w:lang w:eastAsia="fr-BE"/>
        </w:rPr>
        <w:t>Information that will act as performance indicators against the contracted activity will be provided by the STF in the following cases:</w:t>
      </w:r>
    </w:p>
    <w:p w14:paraId="76B3512A" w14:textId="77777777" w:rsidR="00E46006" w:rsidRPr="00D006E9" w:rsidRDefault="00E46006" w:rsidP="00E46006">
      <w:pPr>
        <w:pStyle w:val="B0Bold"/>
        <w:rPr>
          <w:u w:val="single"/>
          <w:lang w:eastAsia="fr-BE"/>
        </w:rPr>
      </w:pPr>
      <w:r w:rsidRPr="00D006E9">
        <w:rPr>
          <w:u w:val="single"/>
          <w:lang w:eastAsia="fr-BE"/>
        </w:rPr>
        <w:lastRenderedPageBreak/>
        <w:t>Effectiveness and efficiency:</w:t>
      </w:r>
    </w:p>
    <w:p w14:paraId="583DA966" w14:textId="77777777" w:rsidR="00E46006" w:rsidRPr="00D006E9" w:rsidRDefault="00E46006" w:rsidP="00E46006">
      <w:pPr>
        <w:pStyle w:val="B0"/>
        <w:rPr>
          <w:lang w:eastAsia="fr-BE"/>
        </w:rPr>
      </w:pPr>
      <w:r w:rsidRPr="00D006E9">
        <w:rPr>
          <w:lang w:eastAsia="fr-BE"/>
        </w:rPr>
        <w:t>Details will be provided, throughout the lifetime of the proposed actions, on:</w:t>
      </w:r>
    </w:p>
    <w:p w14:paraId="509892AF" w14:textId="77777777" w:rsidR="00E46006" w:rsidRPr="00D006E9" w:rsidRDefault="00E46006" w:rsidP="00E46006">
      <w:pPr>
        <w:pStyle w:val="B1spaced"/>
        <w:tabs>
          <w:tab w:val="clear" w:pos="927"/>
        </w:tabs>
        <w:ind w:left="568"/>
        <w:rPr>
          <w:lang w:eastAsia="fr-BE"/>
        </w:rPr>
      </w:pPr>
      <w:r w:rsidRPr="00D006E9">
        <w:rPr>
          <w:lang w:eastAsia="fr-BE"/>
        </w:rPr>
        <w:t>the number of meetings held in relation to this work:</w:t>
      </w:r>
    </w:p>
    <w:p w14:paraId="08401B3E" w14:textId="77777777" w:rsidR="00E46006" w:rsidRPr="00D006E9" w:rsidRDefault="00E46006" w:rsidP="00E46006">
      <w:pPr>
        <w:pStyle w:val="B2"/>
        <w:tabs>
          <w:tab w:val="clear" w:pos="851"/>
          <w:tab w:val="clear" w:pos="1440"/>
        </w:tabs>
        <w:ind w:left="1418" w:hanging="284"/>
        <w:rPr>
          <w:lang w:eastAsia="fr-BE"/>
        </w:rPr>
      </w:pPr>
      <w:r w:rsidRPr="00D006E9">
        <w:rPr>
          <w:lang w:eastAsia="fr-BE"/>
        </w:rPr>
        <w:t>the number of participants;</w:t>
      </w:r>
    </w:p>
    <w:p w14:paraId="1E61E0EF" w14:textId="77777777" w:rsidR="00E46006" w:rsidRPr="00D006E9" w:rsidRDefault="00E46006" w:rsidP="00E46006">
      <w:pPr>
        <w:pStyle w:val="B2"/>
        <w:tabs>
          <w:tab w:val="clear" w:pos="851"/>
          <w:tab w:val="clear" w:pos="1440"/>
        </w:tabs>
        <w:ind w:left="1418" w:hanging="284"/>
        <w:rPr>
          <w:lang w:eastAsia="fr-BE"/>
        </w:rPr>
      </w:pPr>
      <w:r w:rsidRPr="00D006E9">
        <w:rPr>
          <w:lang w:eastAsia="fr-BE"/>
        </w:rPr>
        <w:t>the number of presentations and technical contributions made on the activity by STF;</w:t>
      </w:r>
    </w:p>
    <w:p w14:paraId="2BFEE846" w14:textId="77777777" w:rsidR="00E46006" w:rsidRPr="00D006E9" w:rsidRDefault="00E46006" w:rsidP="00E46006">
      <w:pPr>
        <w:pStyle w:val="B1"/>
        <w:tabs>
          <w:tab w:val="clear" w:pos="927"/>
        </w:tabs>
        <w:ind w:left="568"/>
        <w:rPr>
          <w:lang w:eastAsia="fr-BE"/>
        </w:rPr>
      </w:pPr>
      <w:r w:rsidRPr="00D006E9">
        <w:rPr>
          <w:lang w:eastAsia="fr-BE"/>
        </w:rPr>
        <w:t>an evaluation of feedback received;</w:t>
      </w:r>
    </w:p>
    <w:p w14:paraId="6D2188CA" w14:textId="77777777" w:rsidR="00E46006" w:rsidRPr="00D006E9" w:rsidRDefault="00E46006" w:rsidP="00E46006">
      <w:pPr>
        <w:pStyle w:val="B1"/>
        <w:tabs>
          <w:tab w:val="clear" w:pos="927"/>
        </w:tabs>
        <w:ind w:left="568"/>
        <w:rPr>
          <w:lang w:eastAsia="fr-BE"/>
        </w:rPr>
      </w:pPr>
      <w:r w:rsidRPr="00D006E9">
        <w:rPr>
          <w:lang w:eastAsia="fr-BE"/>
        </w:rPr>
        <w:t>project progress in relation to the specified schedule</w:t>
      </w:r>
    </w:p>
    <w:p w14:paraId="3A899289" w14:textId="77777777" w:rsidR="00E46006" w:rsidRPr="00D006E9" w:rsidRDefault="00E46006" w:rsidP="00E46006">
      <w:pPr>
        <w:pStyle w:val="B1"/>
        <w:numPr>
          <w:ilvl w:val="0"/>
          <w:numId w:val="0"/>
        </w:numPr>
        <w:ind w:left="568"/>
        <w:rPr>
          <w:lang w:eastAsia="fr-BE"/>
        </w:rPr>
      </w:pPr>
    </w:p>
    <w:p w14:paraId="4AC77400" w14:textId="77777777" w:rsidR="00E46006" w:rsidRPr="00D006E9" w:rsidRDefault="00E46006" w:rsidP="00E46006">
      <w:pPr>
        <w:pStyle w:val="B0"/>
        <w:rPr>
          <w:b/>
          <w:bCs/>
          <w:lang w:eastAsia="fr-BE"/>
        </w:rPr>
      </w:pPr>
      <w:r w:rsidRPr="00D006E9">
        <w:rPr>
          <w:b/>
          <w:bCs/>
          <w:lang w:eastAsia="fr-BE"/>
        </w:rPr>
        <w:t>Proposed effectiveness and efficiency benchmarks</w:t>
      </w:r>
    </w:p>
    <w:p w14:paraId="60BA02DC" w14:textId="77777777" w:rsidR="00E46006" w:rsidRPr="00D006E9" w:rsidRDefault="00E46006" w:rsidP="00E46006">
      <w:pPr>
        <w:pStyle w:val="Numberedlistab"/>
        <w:numPr>
          <w:ilvl w:val="0"/>
          <w:numId w:val="25"/>
        </w:numPr>
        <w:ind w:left="567" w:hanging="283"/>
      </w:pPr>
      <w:r w:rsidRPr="00D006E9">
        <w:t>Reports produced by the STF for TC ESI about the progress of the work. A report will be produced for each TC ESI meeting held during this activity (expected to be at least 3 reports a year).</w:t>
      </w:r>
    </w:p>
    <w:p w14:paraId="5B0C8A1C" w14:textId="77777777" w:rsidR="00E46006" w:rsidRPr="00D006E9" w:rsidRDefault="00E46006" w:rsidP="00E46006">
      <w:pPr>
        <w:pStyle w:val="Numberedlistab"/>
        <w:numPr>
          <w:ilvl w:val="0"/>
          <w:numId w:val="25"/>
        </w:numPr>
        <w:ind w:left="567" w:hanging="283"/>
      </w:pPr>
      <w:r w:rsidRPr="00D006E9">
        <w:t xml:space="preserve">Draft versions of the deliverables to be circulated to ETSI TC ESI for comments, namely: </w:t>
      </w:r>
      <w:r>
        <w:t xml:space="preserve">early draft, </w:t>
      </w:r>
      <w:r w:rsidRPr="00D006E9">
        <w:t>stable draft and complete draft.</w:t>
      </w:r>
    </w:p>
    <w:p w14:paraId="314D2663" w14:textId="448A31EB" w:rsidR="00E46006" w:rsidRPr="00674041" w:rsidRDefault="00E46006" w:rsidP="006A5009">
      <w:pPr>
        <w:pStyle w:val="Numberedlistab"/>
        <w:numPr>
          <w:ilvl w:val="0"/>
          <w:numId w:val="25"/>
        </w:numPr>
        <w:ind w:left="567" w:hanging="283"/>
      </w:pPr>
      <w:r w:rsidRPr="00D006E9">
        <w:t>90% of the tasks and other milestone-related schedule on time (less than 5 days after the planned dates).</w:t>
      </w:r>
    </w:p>
    <w:p w14:paraId="77C669F2" w14:textId="77777777" w:rsidR="00E46006" w:rsidRPr="006A5009" w:rsidRDefault="00E46006" w:rsidP="00E46006">
      <w:pPr>
        <w:pStyle w:val="B0Bold"/>
        <w:rPr>
          <w:lang w:eastAsia="fr-BE"/>
        </w:rPr>
      </w:pPr>
      <w:r w:rsidRPr="006A5009">
        <w:rPr>
          <w:lang w:eastAsia="fr-BE"/>
        </w:rPr>
        <w:t>Stakeholder engagement and satisfaction:</w:t>
      </w:r>
    </w:p>
    <w:p w14:paraId="11DB5BC8" w14:textId="77777777" w:rsidR="00E46006" w:rsidRDefault="00E46006" w:rsidP="00E46006">
      <w:pPr>
        <w:rPr>
          <w:szCs w:val="24"/>
          <w:lang w:eastAsia="fr-BE"/>
        </w:rPr>
      </w:pPr>
      <w:r w:rsidRPr="00D006E9">
        <w:rPr>
          <w:szCs w:val="24"/>
          <w:lang w:eastAsia="fr-BE"/>
        </w:rPr>
        <w:t>An analysis will be given of the balance of stakeholder representation in the activity and the number of liaison activities performed (especially at the international level).</w:t>
      </w:r>
    </w:p>
    <w:p w14:paraId="275CCCAB" w14:textId="77777777" w:rsidR="00E46006" w:rsidRPr="009725B6" w:rsidRDefault="00E46006" w:rsidP="00E46006">
      <w:pPr>
        <w:pStyle w:val="ListParagraph"/>
        <w:numPr>
          <w:ilvl w:val="0"/>
          <w:numId w:val="28"/>
        </w:numPr>
        <w:spacing w:after="240"/>
        <w:jc w:val="both"/>
        <w:rPr>
          <w:rFonts w:ascii="Arial" w:hAnsi="Arial" w:cs="Arial"/>
          <w:sz w:val="20"/>
          <w:lang w:eastAsia="fr-BE"/>
        </w:rPr>
      </w:pPr>
      <w:r w:rsidRPr="009725B6">
        <w:rPr>
          <w:rFonts w:ascii="Arial" w:hAnsi="Arial" w:cs="Arial"/>
          <w:sz w:val="20"/>
          <w:lang w:eastAsia="fr-BE"/>
        </w:rPr>
        <w:t>Comments provided to the draft versions of the deliverables circulated by the STF, expected to include at least 5 comments.</w:t>
      </w:r>
    </w:p>
    <w:p w14:paraId="2E247AC3" w14:textId="77777777" w:rsidR="00E46006" w:rsidRPr="00D006E9" w:rsidRDefault="00E46006" w:rsidP="00E46006">
      <w:pPr>
        <w:rPr>
          <w:szCs w:val="24"/>
          <w:lang w:eastAsia="fr-BE"/>
        </w:rPr>
      </w:pPr>
    </w:p>
    <w:p w14:paraId="48865EFC" w14:textId="77777777" w:rsidR="00E46006" w:rsidRPr="006A5009" w:rsidRDefault="00E46006" w:rsidP="00E46006">
      <w:pPr>
        <w:pStyle w:val="B0Bold"/>
        <w:rPr>
          <w:lang w:eastAsia="fr-BE"/>
        </w:rPr>
      </w:pPr>
      <w:r w:rsidRPr="006A5009">
        <w:rPr>
          <w:lang w:eastAsia="fr-BE"/>
        </w:rPr>
        <w:t>Dissemination of results:</w:t>
      </w:r>
    </w:p>
    <w:p w14:paraId="65F6C2B6" w14:textId="0E1E2E54" w:rsidR="00E46006" w:rsidRDefault="00E46006" w:rsidP="00E46006">
      <w:pPr>
        <w:rPr>
          <w:szCs w:val="24"/>
          <w:lang w:eastAsia="fr-BE"/>
        </w:rPr>
      </w:pPr>
      <w:r w:rsidRPr="00D006E9">
        <w:rPr>
          <w:szCs w:val="24"/>
          <w:lang w:eastAsia="fr-BE"/>
        </w:rPr>
        <w:t>Information will be provided on the effectiveness of activities related to the dissemination of project deliverables and efforts made to raise industry awareness of the activity.</w:t>
      </w:r>
    </w:p>
    <w:p w14:paraId="36E40935" w14:textId="77777777" w:rsidR="006A5009" w:rsidRPr="00D006E9" w:rsidRDefault="006A5009" w:rsidP="00E46006">
      <w:pPr>
        <w:rPr>
          <w:szCs w:val="24"/>
          <w:lang w:eastAsia="fr-BE"/>
        </w:rPr>
      </w:pPr>
    </w:p>
    <w:p w14:paraId="46989FCD" w14:textId="77777777" w:rsidR="00E46006" w:rsidRPr="00D006E9" w:rsidRDefault="00E46006" w:rsidP="00E46006">
      <w:pPr>
        <w:pStyle w:val="B0"/>
        <w:rPr>
          <w:b/>
          <w:bCs/>
          <w:lang w:eastAsia="fr-BE"/>
        </w:rPr>
      </w:pPr>
      <w:r w:rsidRPr="00D006E9">
        <w:rPr>
          <w:b/>
          <w:bCs/>
          <w:lang w:eastAsia="fr-BE"/>
        </w:rPr>
        <w:t>Proposed Benchmarks</w:t>
      </w:r>
    </w:p>
    <w:p w14:paraId="68375396" w14:textId="77777777" w:rsidR="00E46006" w:rsidRPr="00D006E9" w:rsidRDefault="00E46006" w:rsidP="00E46006">
      <w:pPr>
        <w:pStyle w:val="Numberedlistab"/>
        <w:numPr>
          <w:ilvl w:val="0"/>
          <w:numId w:val="26"/>
        </w:numPr>
        <w:ind w:left="567" w:hanging="283"/>
      </w:pPr>
      <w:r w:rsidRPr="00373633">
        <w:rPr>
          <w:szCs w:val="24"/>
          <w:lang w:eastAsia="fr-BE"/>
        </w:rPr>
        <w:t xml:space="preserve">at least </w:t>
      </w:r>
      <w:r>
        <w:rPr>
          <w:szCs w:val="24"/>
          <w:lang w:eastAsia="fr-BE"/>
        </w:rPr>
        <w:t>2</w:t>
      </w:r>
      <w:r w:rsidRPr="00373633">
        <w:rPr>
          <w:szCs w:val="24"/>
          <w:lang w:eastAsia="fr-BE"/>
        </w:rPr>
        <w:t xml:space="preserve"> presentations at international fora meetings</w:t>
      </w:r>
      <w:r w:rsidRPr="00D006E9">
        <w:t>.</w:t>
      </w:r>
    </w:p>
    <w:p w14:paraId="2D8E92B6" w14:textId="77777777" w:rsidR="00E46006" w:rsidRDefault="00E46006" w:rsidP="00E46006">
      <w:pPr>
        <w:pStyle w:val="Numberedlistab"/>
        <w:numPr>
          <w:ilvl w:val="0"/>
          <w:numId w:val="26"/>
        </w:numPr>
        <w:ind w:left="567" w:hanging="283"/>
      </w:pPr>
      <w:r w:rsidRPr="00710E2F">
        <w:t xml:space="preserve">Organization of </w:t>
      </w:r>
      <w:r w:rsidRPr="00ED5436">
        <w:t>three</w:t>
      </w:r>
      <w:r w:rsidRPr="00877108">
        <w:t xml:space="preserve"> international</w:t>
      </w:r>
      <w:r>
        <w:t xml:space="preserve"> workshops and reports from the events</w:t>
      </w:r>
    </w:p>
    <w:p w14:paraId="5EFD317F" w14:textId="76C55E52" w:rsidR="00E46006" w:rsidRDefault="00E46006" w:rsidP="006A5009">
      <w:pPr>
        <w:pStyle w:val="Numberedlistab"/>
        <w:numPr>
          <w:ilvl w:val="0"/>
          <w:numId w:val="26"/>
        </w:numPr>
        <w:ind w:left="567" w:hanging="283"/>
      </w:pPr>
      <w:r w:rsidRPr="00D006E9">
        <w:t xml:space="preserve">At least </w:t>
      </w:r>
      <w:r>
        <w:t>1</w:t>
      </w:r>
      <w:r w:rsidRPr="00D006E9">
        <w:t xml:space="preserve"> </w:t>
      </w:r>
      <w:r>
        <w:t xml:space="preserve">public </w:t>
      </w:r>
      <w:r w:rsidRPr="00D006E9">
        <w:t>consultation (ETSI, stakeholder contact list) on the key draft documents</w:t>
      </w:r>
      <w:r>
        <w:t>.</w:t>
      </w:r>
    </w:p>
    <w:p w14:paraId="0CC07218" w14:textId="77777777" w:rsidR="006A5009" w:rsidRDefault="006A5009" w:rsidP="006A5009"/>
    <w:p w14:paraId="3260CB86" w14:textId="77777777" w:rsidR="00E46006" w:rsidRDefault="00E46006" w:rsidP="00E46006">
      <w:pPr>
        <w:pStyle w:val="Heading1"/>
        <w:keepLines w:val="0"/>
        <w:numPr>
          <w:ilvl w:val="0"/>
          <w:numId w:val="19"/>
        </w:numPr>
        <w:tabs>
          <w:tab w:val="clear" w:pos="1418"/>
        </w:tabs>
        <w:overflowPunct/>
        <w:autoSpaceDE/>
        <w:autoSpaceDN/>
        <w:adjustRightInd/>
        <w:jc w:val="both"/>
        <w:textAlignment w:val="auto"/>
      </w:pPr>
      <w:r w:rsidRPr="00FA2920">
        <w:t>Work plan, milestones and deliverables</w:t>
      </w:r>
    </w:p>
    <w:p w14:paraId="466CAD38" w14:textId="77777777" w:rsidR="00E46006" w:rsidRDefault="00E46006" w:rsidP="00E46006">
      <w:pPr>
        <w:pStyle w:val="Heading2"/>
        <w:numPr>
          <w:ilvl w:val="1"/>
          <w:numId w:val="19"/>
        </w:numPr>
        <w:ind w:left="567" w:hanging="567"/>
        <w:jc w:val="both"/>
      </w:pPr>
      <w:r w:rsidRPr="00FA2920">
        <w:t>Deliverable</w:t>
      </w:r>
      <w:r>
        <w:t>s</w:t>
      </w:r>
    </w:p>
    <w:p w14:paraId="523E1981" w14:textId="77777777" w:rsidR="00E46006" w:rsidRPr="00D006E9" w:rsidRDefault="00E46006" w:rsidP="00E46006">
      <w:pPr>
        <w:pStyle w:val="B0"/>
      </w:pPr>
      <w:r w:rsidRPr="00D006E9">
        <w:t>Repor</w:t>
      </w:r>
      <w:r w:rsidRPr="007660A9">
        <w:t>t</w:t>
      </w:r>
      <w:r w:rsidRPr="00D006E9">
        <w:t>s to be submitted to the EC/EFTA:</w:t>
      </w:r>
    </w:p>
    <w:p w14:paraId="336553BD" w14:textId="77777777" w:rsidR="00E46006" w:rsidRPr="00D006E9" w:rsidRDefault="00E46006" w:rsidP="00E46006">
      <w:pPr>
        <w:pStyle w:val="B1"/>
        <w:numPr>
          <w:ilvl w:val="0"/>
          <w:numId w:val="18"/>
        </w:numPr>
        <w:tabs>
          <w:tab w:val="clear" w:pos="567"/>
          <w:tab w:val="clear" w:pos="1003"/>
          <w:tab w:val="num" w:pos="720"/>
          <w:tab w:val="left" w:pos="1418"/>
          <w:tab w:val="left" w:pos="4678"/>
          <w:tab w:val="left" w:pos="5954"/>
          <w:tab w:val="left" w:pos="7088"/>
        </w:tabs>
        <w:ind w:left="714" w:hanging="357"/>
        <w:jc w:val="both"/>
        <w:textAlignment w:val="auto"/>
      </w:pPr>
      <w:r>
        <w:t xml:space="preserve">The </w:t>
      </w:r>
      <w:r w:rsidRPr="00D006E9">
        <w:t xml:space="preserve">Interim report will be submitted at the latest </w:t>
      </w:r>
      <w:r>
        <w:t xml:space="preserve">9 </w:t>
      </w:r>
      <w:r w:rsidRPr="00D006E9">
        <w:t>months after the date of signature.</w:t>
      </w:r>
    </w:p>
    <w:p w14:paraId="514A4663" w14:textId="77777777" w:rsidR="00E46006" w:rsidRPr="00D006E9" w:rsidRDefault="00E46006" w:rsidP="00E46006">
      <w:pPr>
        <w:pStyle w:val="B1"/>
        <w:numPr>
          <w:ilvl w:val="0"/>
          <w:numId w:val="18"/>
        </w:numPr>
        <w:tabs>
          <w:tab w:val="clear" w:pos="567"/>
          <w:tab w:val="clear" w:pos="1003"/>
          <w:tab w:val="num" w:pos="720"/>
          <w:tab w:val="left" w:pos="1418"/>
          <w:tab w:val="left" w:pos="4678"/>
          <w:tab w:val="left" w:pos="5954"/>
          <w:tab w:val="left" w:pos="7088"/>
        </w:tabs>
        <w:spacing w:after="240"/>
        <w:ind w:left="714" w:hanging="357"/>
        <w:jc w:val="both"/>
        <w:textAlignment w:val="auto"/>
      </w:pPr>
      <w:r>
        <w:t>A f</w:t>
      </w:r>
      <w:r w:rsidRPr="00D006E9">
        <w:t xml:space="preserve">inal report will be submitted at the latest </w:t>
      </w:r>
      <w:r>
        <w:t>15</w:t>
      </w:r>
      <w:r w:rsidRPr="00D006E9">
        <w:t xml:space="preserve"> months after the date of signature.</w:t>
      </w:r>
    </w:p>
    <w:p w14:paraId="75ED0FF5" w14:textId="77777777" w:rsidR="006A5009" w:rsidRDefault="00E46006" w:rsidP="00DF4ACD">
      <w:pPr>
        <w:pStyle w:val="Heading2"/>
        <w:keepLines w:val="0"/>
        <w:numPr>
          <w:ilvl w:val="0"/>
          <w:numId w:val="0"/>
        </w:numPr>
        <w:tabs>
          <w:tab w:val="clear" w:pos="1418"/>
        </w:tabs>
        <w:overflowPunct/>
        <w:autoSpaceDE/>
        <w:autoSpaceDN/>
        <w:adjustRightInd/>
        <w:jc w:val="both"/>
        <w:textAlignment w:val="auto"/>
      </w:pPr>
      <w:r w:rsidRPr="004A1A44">
        <w:t>Tab</w:t>
      </w:r>
      <w:r>
        <w:t xml:space="preserve">le </w:t>
      </w:r>
      <w:r>
        <w:fldChar w:fldCharType="begin"/>
      </w:r>
      <w:r>
        <w:instrText xml:space="preserve"> REF TAB_DELIVERABLES \h </w:instrText>
      </w:r>
      <w:r>
        <w:fldChar w:fldCharType="separate"/>
      </w:r>
      <w:r w:rsidR="006A5009">
        <w:rPr>
          <w:b w:val="0"/>
          <w:noProof/>
          <w:u w:val="single"/>
          <w:lang w:val="en-US"/>
        </w:rPr>
        <w:t>1</w:t>
      </w:r>
      <w:r>
        <w:fldChar w:fldCharType="end"/>
      </w:r>
      <w:r>
        <w:t xml:space="preserve"> shows the deliverables of this project. Section 7.2 “</w:t>
      </w:r>
      <w:r>
        <w:fldChar w:fldCharType="begin"/>
      </w:r>
      <w:r>
        <w:instrText xml:space="preserve"> REF _Ref288151960 \h </w:instrText>
      </w:r>
      <w:r>
        <w:fldChar w:fldCharType="separate"/>
      </w:r>
    </w:p>
    <w:p w14:paraId="228A0DBC" w14:textId="77777777" w:rsidR="006A5009" w:rsidRPr="00FA2920" w:rsidRDefault="006A5009" w:rsidP="00DF4ACD">
      <w:pPr>
        <w:pStyle w:val="Heading2"/>
        <w:keepLines w:val="0"/>
        <w:numPr>
          <w:ilvl w:val="1"/>
          <w:numId w:val="19"/>
        </w:numPr>
        <w:tabs>
          <w:tab w:val="clear" w:pos="1418"/>
        </w:tabs>
        <w:overflowPunct/>
        <w:autoSpaceDE/>
        <w:autoSpaceDN/>
        <w:adjustRightInd/>
        <w:jc w:val="both"/>
        <w:textAlignment w:val="auto"/>
      </w:pPr>
      <w:r w:rsidRPr="00FA2920">
        <w:t xml:space="preserve">Work plan </w:t>
      </w:r>
    </w:p>
    <w:p w14:paraId="253DB625" w14:textId="77777777" w:rsidR="006A5009" w:rsidRDefault="006A5009" w:rsidP="00DF4ACD">
      <w:pPr>
        <w:keepNext/>
        <w:keepLines/>
        <w:jc w:val="left"/>
      </w:pPr>
      <w:r>
        <w:t xml:space="preserve">Table </w:t>
      </w:r>
      <w:r>
        <w:rPr>
          <w:b/>
          <w:noProof/>
          <w:u w:val="single"/>
        </w:rPr>
        <w:t>3</w:t>
      </w:r>
      <w:r>
        <w:t xml:space="preserve"> shows the detailed work plan for this project. It is formed by tasks.</w:t>
      </w:r>
    </w:p>
    <w:p w14:paraId="73333981" w14:textId="4287D37A" w:rsidR="00E46006" w:rsidRDefault="006A5009" w:rsidP="00E46006">
      <w:r>
        <w:t xml:space="preserve">Note: T0 is used to denote the start of the project in the milestones below. </w:t>
      </w:r>
      <w:r w:rsidR="00E46006">
        <w:fldChar w:fldCharType="end"/>
      </w:r>
      <w:r w:rsidR="00E46006">
        <w:t>” provides additional information of the purported content for each deliverable.</w:t>
      </w:r>
    </w:p>
    <w:p w14:paraId="0F32099F" w14:textId="0372C851" w:rsidR="00451FEB" w:rsidRDefault="00451FEB">
      <w:pPr>
        <w:tabs>
          <w:tab w:val="clear" w:pos="1418"/>
          <w:tab w:val="clear" w:pos="4678"/>
          <w:tab w:val="clear" w:pos="5954"/>
          <w:tab w:val="clear" w:pos="7088"/>
        </w:tabs>
        <w:overflowPunct/>
        <w:autoSpaceDE/>
        <w:autoSpaceDN/>
        <w:adjustRightInd/>
        <w:jc w:val="left"/>
        <w:textAlignment w:val="auto"/>
        <w:rPr>
          <w:lang w:val="en-US"/>
        </w:rPr>
      </w:pPr>
      <w:r>
        <w:rPr>
          <w:lang w:val="en-US"/>
        </w:rPr>
        <w:br w:type="page"/>
      </w:r>
    </w:p>
    <w:p w14:paraId="657B7442" w14:textId="2F205461" w:rsidR="00E46006" w:rsidRPr="00451FEB" w:rsidRDefault="00451FEB" w:rsidP="00451FEB">
      <w:pPr>
        <w:jc w:val="left"/>
        <w:rPr>
          <w:b/>
          <w:u w:val="single"/>
          <w:lang w:val="en-US"/>
        </w:rPr>
      </w:pPr>
      <w:r w:rsidRPr="00451FEB">
        <w:rPr>
          <w:b/>
          <w:u w:val="single"/>
          <w:lang w:val="en-US"/>
        </w:rPr>
        <w:lastRenderedPageBreak/>
        <w:t xml:space="preserve">Table </w:t>
      </w:r>
      <w:bookmarkStart w:id="3" w:name="TAB_DELIVERABLES"/>
      <w:r w:rsidRPr="00451FEB">
        <w:rPr>
          <w:b/>
          <w:u w:val="single"/>
          <w:lang w:val="en-US"/>
        </w:rPr>
        <w:fldChar w:fldCharType="begin"/>
      </w:r>
      <w:r w:rsidRPr="00451FEB">
        <w:rPr>
          <w:b/>
          <w:u w:val="single"/>
          <w:lang w:val="en-US"/>
        </w:rPr>
        <w:instrText xml:space="preserve"> SEQ TAB \* MERGEFORMAT </w:instrText>
      </w:r>
      <w:r w:rsidRPr="00451FEB">
        <w:rPr>
          <w:b/>
          <w:u w:val="single"/>
          <w:lang w:val="en-US"/>
        </w:rPr>
        <w:fldChar w:fldCharType="separate"/>
      </w:r>
      <w:r w:rsidR="006A5009">
        <w:rPr>
          <w:b/>
          <w:noProof/>
          <w:u w:val="single"/>
          <w:lang w:val="en-US"/>
        </w:rPr>
        <w:t>1</w:t>
      </w:r>
      <w:r w:rsidRPr="00451FEB">
        <w:rPr>
          <w:b/>
          <w:u w:val="single"/>
          <w:lang w:val="en-US"/>
        </w:rPr>
        <w:fldChar w:fldCharType="end"/>
      </w:r>
      <w:bookmarkEnd w:id="3"/>
      <w:r w:rsidRPr="00451FEB">
        <w:rPr>
          <w:b/>
          <w:u w:val="single"/>
          <w:lang w:val="en-US"/>
        </w:rPr>
        <w:t>: List of deliverables</w:t>
      </w:r>
    </w:p>
    <w:p w14:paraId="36C5FEC6" w14:textId="77777777" w:rsidR="00451FEB" w:rsidRDefault="00451FEB" w:rsidP="00451FEB">
      <w:pPr>
        <w:jc w:val="left"/>
        <w:rPr>
          <w:lang w:val="en-US"/>
        </w:rPr>
      </w:pPr>
    </w:p>
    <w:tbl>
      <w:tblPr>
        <w:tblW w:w="93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firstRow="1" w:lastRow="0" w:firstColumn="1" w:lastColumn="0" w:noHBand="0" w:noVBand="1"/>
      </w:tblPr>
      <w:tblGrid>
        <w:gridCol w:w="1223"/>
        <w:gridCol w:w="617"/>
        <w:gridCol w:w="6135"/>
        <w:gridCol w:w="1327"/>
      </w:tblGrid>
      <w:tr w:rsidR="00E46006" w:rsidRPr="00F0769F" w14:paraId="2ADFE88C" w14:textId="77777777" w:rsidTr="007E6A3F">
        <w:trPr>
          <w:tblHeader/>
          <w:jc w:val="center"/>
        </w:trPr>
        <w:tc>
          <w:tcPr>
            <w:tcW w:w="1223" w:type="dxa"/>
            <w:shd w:val="clear" w:color="auto" w:fill="BDD6EE" w:themeFill="accent1" w:themeFillTint="66"/>
          </w:tcPr>
          <w:p w14:paraId="0DA7C0B4" w14:textId="77777777" w:rsidR="00E46006" w:rsidRPr="00F0769F" w:rsidRDefault="00E46006" w:rsidP="00451FEB">
            <w:pPr>
              <w:pStyle w:val="TAH"/>
              <w:rPr>
                <w:lang w:val="en-US"/>
              </w:rPr>
            </w:pPr>
            <w:r w:rsidRPr="00F0769F">
              <w:rPr>
                <w:lang w:val="en-US"/>
              </w:rPr>
              <w:t xml:space="preserve">Deliverable </w:t>
            </w:r>
            <w:r>
              <w:rPr>
                <w:lang w:val="en-US"/>
              </w:rPr>
              <w:t>ID</w:t>
            </w:r>
          </w:p>
        </w:tc>
        <w:tc>
          <w:tcPr>
            <w:tcW w:w="617" w:type="dxa"/>
            <w:shd w:val="clear" w:color="auto" w:fill="BDD6EE" w:themeFill="accent1" w:themeFillTint="66"/>
          </w:tcPr>
          <w:p w14:paraId="779865BF" w14:textId="77777777" w:rsidR="00E46006" w:rsidRPr="00F0769F" w:rsidRDefault="00E46006" w:rsidP="00451FEB">
            <w:pPr>
              <w:pStyle w:val="TAH"/>
              <w:spacing w:before="40" w:after="40"/>
              <w:rPr>
                <w:lang w:val="en-US"/>
              </w:rPr>
            </w:pPr>
            <w:r w:rsidRPr="00F0769F">
              <w:rPr>
                <w:lang w:val="en-US"/>
              </w:rPr>
              <w:t>Type</w:t>
            </w:r>
          </w:p>
        </w:tc>
        <w:tc>
          <w:tcPr>
            <w:tcW w:w="6135" w:type="dxa"/>
            <w:shd w:val="clear" w:color="auto" w:fill="BDD6EE" w:themeFill="accent1" w:themeFillTint="66"/>
          </w:tcPr>
          <w:p w14:paraId="2C843E9C" w14:textId="77777777" w:rsidR="00E46006" w:rsidRPr="00F0769F" w:rsidRDefault="00E46006" w:rsidP="00451FEB">
            <w:pPr>
              <w:pStyle w:val="TAH"/>
              <w:rPr>
                <w:lang w:val="en-US"/>
              </w:rPr>
            </w:pPr>
            <w:r w:rsidRPr="00F0769F">
              <w:rPr>
                <w:lang w:val="en-US"/>
              </w:rPr>
              <w:t xml:space="preserve">Title </w:t>
            </w:r>
            <w:r w:rsidRPr="00A60230">
              <w:rPr>
                <w:lang w:val="en-US"/>
              </w:rPr>
              <w:t>and</w:t>
            </w:r>
            <w:r w:rsidRPr="00F0769F">
              <w:rPr>
                <w:lang w:val="en-US"/>
              </w:rPr>
              <w:t xml:space="preserve"> Contents</w:t>
            </w:r>
          </w:p>
        </w:tc>
        <w:tc>
          <w:tcPr>
            <w:tcW w:w="1327" w:type="dxa"/>
            <w:tcBorders>
              <w:bottom w:val="single" w:sz="4" w:space="0" w:color="000000"/>
            </w:tcBorders>
            <w:shd w:val="clear" w:color="auto" w:fill="BDD6EE" w:themeFill="accent1" w:themeFillTint="66"/>
          </w:tcPr>
          <w:p w14:paraId="6862A1A3" w14:textId="77777777" w:rsidR="00E46006" w:rsidRPr="00F0769F" w:rsidRDefault="00E46006" w:rsidP="00451FEB">
            <w:pPr>
              <w:pStyle w:val="TAH"/>
              <w:rPr>
                <w:lang w:val="en-US"/>
              </w:rPr>
            </w:pPr>
            <w:r>
              <w:rPr>
                <w:lang w:val="en-US"/>
              </w:rPr>
              <w:t>Observations</w:t>
            </w:r>
          </w:p>
        </w:tc>
      </w:tr>
      <w:tr w:rsidR="00E46006" w:rsidRPr="00F0769F" w14:paraId="46055B30" w14:textId="77777777" w:rsidTr="00451FEB">
        <w:trPr>
          <w:trHeight w:val="408"/>
          <w:jc w:val="center"/>
        </w:trPr>
        <w:tc>
          <w:tcPr>
            <w:tcW w:w="1223" w:type="dxa"/>
            <w:tcBorders>
              <w:top w:val="single" w:sz="4" w:space="0" w:color="000000"/>
              <w:left w:val="single" w:sz="4" w:space="0" w:color="000000"/>
              <w:bottom w:val="single" w:sz="4" w:space="0" w:color="000000"/>
              <w:right w:val="single" w:sz="4" w:space="0" w:color="000000"/>
            </w:tcBorders>
            <w:vAlign w:val="center"/>
          </w:tcPr>
          <w:p w14:paraId="6AE8FFC6" w14:textId="77777777" w:rsidR="00E46006" w:rsidRDefault="00E46006" w:rsidP="00451FEB">
            <w:pPr>
              <w:pStyle w:val="TAC"/>
              <w:spacing w:before="40" w:after="40"/>
              <w:rPr>
                <w:b/>
                <w:lang w:val="en-US"/>
              </w:rPr>
            </w:pPr>
            <w:r>
              <w:rPr>
                <w:b/>
                <w:lang w:val="en-US"/>
              </w:rPr>
              <w:t>119 172-2</w:t>
            </w:r>
          </w:p>
          <w:p w14:paraId="07A9429F" w14:textId="77777777" w:rsidR="00E46006" w:rsidRPr="00F0769F" w:rsidRDefault="00E46006" w:rsidP="00451FEB">
            <w:pPr>
              <w:pStyle w:val="TAC"/>
              <w:spacing w:before="40" w:after="40"/>
              <w:rPr>
                <w:b/>
                <w:lang w:val="en-US"/>
              </w:rPr>
            </w:pPr>
            <w:r w:rsidRPr="006A5009">
              <w:rPr>
                <w:rFonts w:cs="Arial"/>
                <w:color w:val="000000"/>
                <w:sz w:val="20"/>
              </w:rPr>
              <w:t>DTS/ESI-0019172-2</w:t>
            </w:r>
          </w:p>
        </w:tc>
        <w:tc>
          <w:tcPr>
            <w:tcW w:w="617" w:type="dxa"/>
            <w:tcBorders>
              <w:top w:val="single" w:sz="4" w:space="0" w:color="000000"/>
              <w:left w:val="single" w:sz="4" w:space="0" w:color="000000"/>
              <w:bottom w:val="single" w:sz="4" w:space="0" w:color="000000"/>
              <w:right w:val="single" w:sz="4" w:space="0" w:color="000000"/>
            </w:tcBorders>
            <w:vAlign w:val="center"/>
          </w:tcPr>
          <w:p w14:paraId="036D92A0" w14:textId="77777777" w:rsidR="00E46006" w:rsidRPr="00F0769F" w:rsidRDefault="00E46006" w:rsidP="00451FEB">
            <w:pPr>
              <w:pStyle w:val="TAC"/>
              <w:spacing w:before="40" w:after="40"/>
              <w:rPr>
                <w:lang w:val="en-US"/>
              </w:rPr>
            </w:pPr>
            <w:r>
              <w:rPr>
                <w:lang w:val="en-US"/>
              </w:rPr>
              <w:t>TS</w:t>
            </w:r>
          </w:p>
        </w:tc>
        <w:tc>
          <w:tcPr>
            <w:tcW w:w="6135" w:type="dxa"/>
            <w:tcBorders>
              <w:top w:val="single" w:sz="4" w:space="0" w:color="000000"/>
              <w:left w:val="single" w:sz="4" w:space="0" w:color="000000"/>
              <w:bottom w:val="single" w:sz="4" w:space="0" w:color="000000"/>
              <w:right w:val="single" w:sz="4" w:space="0" w:color="000000"/>
            </w:tcBorders>
            <w:vAlign w:val="center"/>
          </w:tcPr>
          <w:p w14:paraId="1D9EB4D5" w14:textId="77777777" w:rsidR="00E46006" w:rsidRPr="00B53A52" w:rsidRDefault="00E46006" w:rsidP="00451FEB">
            <w:pPr>
              <w:pStyle w:val="TAL"/>
              <w:rPr>
                <w:rFonts w:cs="Arial"/>
                <w:szCs w:val="18"/>
                <w:lang w:val="en-US"/>
              </w:rPr>
            </w:pPr>
            <w:r w:rsidRPr="00A7720B">
              <w:rPr>
                <w:rFonts w:cs="Arial"/>
                <w:b/>
                <w:szCs w:val="18"/>
                <w:lang w:val="en-US"/>
              </w:rPr>
              <w:t>Title:</w:t>
            </w:r>
            <w:r>
              <w:rPr>
                <w:rFonts w:cs="Arial"/>
                <w:szCs w:val="18"/>
                <w:lang w:val="en-US"/>
              </w:rPr>
              <w:t xml:space="preserve"> </w:t>
            </w:r>
            <w:r w:rsidRPr="00B53A52">
              <w:rPr>
                <w:rFonts w:cs="Arial"/>
                <w:szCs w:val="18"/>
                <w:lang w:val="en-US"/>
              </w:rPr>
              <w:t>Electronic Signatures and Infrastructures (ESI);</w:t>
            </w:r>
          </w:p>
          <w:p w14:paraId="6C8C0566" w14:textId="77777777" w:rsidR="00E46006" w:rsidRDefault="00E46006" w:rsidP="00451FEB">
            <w:pPr>
              <w:pStyle w:val="TAL"/>
              <w:rPr>
                <w:rFonts w:cs="Arial"/>
                <w:szCs w:val="18"/>
                <w:lang w:val="en-US"/>
              </w:rPr>
            </w:pPr>
            <w:r w:rsidRPr="00B53A52">
              <w:rPr>
                <w:rFonts w:cs="Arial"/>
                <w:szCs w:val="18"/>
                <w:lang w:val="en-US"/>
              </w:rPr>
              <w:t>Signature Policies;</w:t>
            </w:r>
            <w:r>
              <w:rPr>
                <w:rFonts w:cs="Arial"/>
                <w:szCs w:val="18"/>
                <w:lang w:val="en-US"/>
              </w:rPr>
              <w:t xml:space="preserve"> Part 2: XML format for signature policies</w:t>
            </w:r>
          </w:p>
          <w:p w14:paraId="52B818D5" w14:textId="77777777" w:rsidR="00E46006" w:rsidRDefault="00E46006" w:rsidP="00451FEB">
            <w:pPr>
              <w:pStyle w:val="TAL"/>
              <w:rPr>
                <w:rFonts w:cs="Arial"/>
                <w:szCs w:val="18"/>
                <w:lang w:val="en-US"/>
              </w:rPr>
            </w:pPr>
          </w:p>
          <w:p w14:paraId="7B9D8A1A" w14:textId="77777777" w:rsidR="00E46006" w:rsidRPr="007E2353" w:rsidRDefault="00E46006" w:rsidP="00451FEB">
            <w:pPr>
              <w:pStyle w:val="TAL"/>
              <w:rPr>
                <w:rFonts w:cs="Arial"/>
                <w:szCs w:val="18"/>
                <w:lang w:val="en-US"/>
              </w:rPr>
            </w:pPr>
            <w:r w:rsidRPr="00A7720B">
              <w:rPr>
                <w:rFonts w:cs="Arial"/>
                <w:b/>
                <w:szCs w:val="18"/>
                <w:lang w:val="en-US"/>
              </w:rPr>
              <w:t>Content:</w:t>
            </w:r>
            <w:r>
              <w:rPr>
                <w:rFonts w:cs="Arial"/>
                <w:szCs w:val="18"/>
                <w:lang w:val="en-US"/>
              </w:rPr>
              <w:t xml:space="preserve"> TS 119 172-1 describes the different building blocks for human readable signature policy documents. Some of these elements can be translated directly in input for signature creation / augmentation or validation processes, like the used / accepted trust anchors or elements to be included into the signature. The goal of this document to capture these elements in machine processable form, </w:t>
            </w:r>
            <w:r w:rsidRPr="007660A9">
              <w:rPr>
                <w:rFonts w:cs="Arial"/>
                <w:b/>
                <w:szCs w:val="18"/>
                <w:lang w:val="en-US"/>
              </w:rPr>
              <w:t>more precisely in XML format</w:t>
            </w:r>
            <w:r>
              <w:rPr>
                <w:rFonts w:cs="Arial"/>
                <w:szCs w:val="18"/>
                <w:lang w:val="en-US"/>
              </w:rPr>
              <w:t>. This allows to use these signature policies directly as input to the signature creation / augmentation or validation process.</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65C808C5" w14:textId="77777777" w:rsidR="00E46006" w:rsidRPr="00E302F4" w:rsidRDefault="00E46006" w:rsidP="00451FEB">
            <w:pPr>
              <w:pStyle w:val="TAL"/>
              <w:rPr>
                <w:rFonts w:cs="Arial"/>
                <w:szCs w:val="18"/>
                <w:lang w:val="en-US"/>
              </w:rPr>
            </w:pPr>
          </w:p>
        </w:tc>
      </w:tr>
      <w:tr w:rsidR="00E46006" w:rsidRPr="00F0769F" w14:paraId="49DBA756" w14:textId="77777777" w:rsidTr="00451FEB">
        <w:trPr>
          <w:trHeight w:val="408"/>
          <w:jc w:val="center"/>
        </w:trPr>
        <w:tc>
          <w:tcPr>
            <w:tcW w:w="1223" w:type="dxa"/>
            <w:tcBorders>
              <w:top w:val="single" w:sz="4" w:space="0" w:color="000000"/>
              <w:left w:val="single" w:sz="4" w:space="0" w:color="000000"/>
              <w:bottom w:val="single" w:sz="4" w:space="0" w:color="000000"/>
              <w:right w:val="single" w:sz="4" w:space="0" w:color="000000"/>
            </w:tcBorders>
            <w:vAlign w:val="center"/>
          </w:tcPr>
          <w:p w14:paraId="5688104F" w14:textId="77777777" w:rsidR="00E46006" w:rsidRDefault="00E46006" w:rsidP="00451FEB">
            <w:pPr>
              <w:pStyle w:val="TAC"/>
              <w:spacing w:before="40" w:after="40"/>
              <w:rPr>
                <w:b/>
                <w:lang w:val="en-US"/>
              </w:rPr>
            </w:pPr>
            <w:r>
              <w:rPr>
                <w:b/>
                <w:lang w:val="en-US"/>
              </w:rPr>
              <w:t>119 172-3</w:t>
            </w:r>
          </w:p>
          <w:p w14:paraId="3CE698AA" w14:textId="77777777" w:rsidR="00E46006" w:rsidRPr="00F0769F" w:rsidRDefault="00E46006" w:rsidP="00451FEB">
            <w:pPr>
              <w:pStyle w:val="TAC"/>
              <w:spacing w:before="40" w:after="40"/>
              <w:rPr>
                <w:b/>
                <w:lang w:val="en-US"/>
              </w:rPr>
            </w:pPr>
            <w:r w:rsidRPr="006A5009">
              <w:rPr>
                <w:rFonts w:cs="Arial"/>
                <w:color w:val="000000"/>
                <w:sz w:val="20"/>
              </w:rPr>
              <w:t>DTS/ESI-0019172-3</w:t>
            </w:r>
          </w:p>
        </w:tc>
        <w:tc>
          <w:tcPr>
            <w:tcW w:w="617" w:type="dxa"/>
            <w:tcBorders>
              <w:top w:val="single" w:sz="4" w:space="0" w:color="000000"/>
              <w:left w:val="single" w:sz="4" w:space="0" w:color="000000"/>
              <w:bottom w:val="single" w:sz="4" w:space="0" w:color="000000"/>
              <w:right w:val="single" w:sz="4" w:space="0" w:color="000000"/>
            </w:tcBorders>
            <w:vAlign w:val="center"/>
          </w:tcPr>
          <w:p w14:paraId="757B9629" w14:textId="77777777" w:rsidR="00E46006" w:rsidRPr="00F0769F" w:rsidRDefault="00E46006" w:rsidP="00451FEB">
            <w:pPr>
              <w:pStyle w:val="TAC"/>
              <w:spacing w:before="40" w:after="40"/>
              <w:rPr>
                <w:lang w:val="en-US"/>
              </w:rPr>
            </w:pPr>
            <w:r>
              <w:rPr>
                <w:lang w:val="en-US"/>
              </w:rPr>
              <w:t>TS</w:t>
            </w:r>
          </w:p>
        </w:tc>
        <w:tc>
          <w:tcPr>
            <w:tcW w:w="6135" w:type="dxa"/>
            <w:tcBorders>
              <w:top w:val="single" w:sz="4" w:space="0" w:color="000000"/>
              <w:left w:val="single" w:sz="4" w:space="0" w:color="000000"/>
              <w:bottom w:val="single" w:sz="4" w:space="0" w:color="000000"/>
              <w:right w:val="single" w:sz="4" w:space="0" w:color="000000"/>
            </w:tcBorders>
            <w:vAlign w:val="center"/>
          </w:tcPr>
          <w:p w14:paraId="213C8C05" w14:textId="77777777" w:rsidR="00E46006" w:rsidRPr="00B53A52" w:rsidRDefault="00E46006" w:rsidP="00451FEB">
            <w:pPr>
              <w:pStyle w:val="TAL"/>
              <w:rPr>
                <w:rFonts w:cs="Arial"/>
                <w:szCs w:val="18"/>
                <w:lang w:val="en-US"/>
              </w:rPr>
            </w:pPr>
            <w:r w:rsidRPr="009449BE">
              <w:rPr>
                <w:rFonts w:cs="Arial"/>
                <w:b/>
                <w:szCs w:val="18"/>
                <w:lang w:val="en-US"/>
              </w:rPr>
              <w:t>Title:</w:t>
            </w:r>
            <w:r>
              <w:rPr>
                <w:rFonts w:cs="Arial"/>
                <w:szCs w:val="18"/>
                <w:lang w:val="en-US"/>
              </w:rPr>
              <w:t xml:space="preserve"> </w:t>
            </w:r>
            <w:r w:rsidRPr="00B53A52">
              <w:rPr>
                <w:rFonts w:cs="Arial"/>
                <w:szCs w:val="18"/>
                <w:lang w:val="en-US"/>
              </w:rPr>
              <w:t>Electronic Signatures and Infrastructures (ESI);</w:t>
            </w:r>
          </w:p>
          <w:p w14:paraId="2AD46FAA" w14:textId="77777777" w:rsidR="00E46006" w:rsidRDefault="00E46006" w:rsidP="00451FEB">
            <w:pPr>
              <w:pStyle w:val="TAL"/>
              <w:rPr>
                <w:rFonts w:cs="Arial"/>
                <w:szCs w:val="18"/>
                <w:lang w:val="en-US"/>
              </w:rPr>
            </w:pPr>
            <w:r w:rsidRPr="00B53A52">
              <w:rPr>
                <w:rFonts w:cs="Arial"/>
                <w:szCs w:val="18"/>
                <w:lang w:val="en-US"/>
              </w:rPr>
              <w:t>Signature Policies;</w:t>
            </w:r>
            <w:r>
              <w:rPr>
                <w:rFonts w:cs="Arial"/>
                <w:szCs w:val="18"/>
                <w:lang w:val="en-US"/>
              </w:rPr>
              <w:t xml:space="preserve"> Part 3: ASN.1 format for signature policies</w:t>
            </w:r>
          </w:p>
          <w:p w14:paraId="32CC8A0D" w14:textId="77777777" w:rsidR="00E46006" w:rsidRDefault="00E46006" w:rsidP="00451FEB">
            <w:pPr>
              <w:pStyle w:val="TAL"/>
              <w:rPr>
                <w:rFonts w:cs="Arial"/>
                <w:szCs w:val="18"/>
                <w:lang w:val="en-US"/>
              </w:rPr>
            </w:pPr>
          </w:p>
          <w:p w14:paraId="6BD8DE86" w14:textId="77777777" w:rsidR="00E46006" w:rsidRPr="00A7720B" w:rsidRDefault="00E46006" w:rsidP="00451FEB">
            <w:pPr>
              <w:pStyle w:val="TAL"/>
              <w:rPr>
                <w:rFonts w:cs="Arial"/>
                <w:b/>
                <w:szCs w:val="18"/>
                <w:lang w:val="en-US"/>
              </w:rPr>
            </w:pPr>
            <w:r w:rsidRPr="00A7720B">
              <w:rPr>
                <w:rFonts w:cs="Arial"/>
                <w:b/>
                <w:szCs w:val="18"/>
                <w:lang w:val="en-US"/>
              </w:rPr>
              <w:t xml:space="preserve">Content: </w:t>
            </w:r>
            <w:r w:rsidRPr="00A7720B">
              <w:rPr>
                <w:rFonts w:cs="Arial"/>
                <w:szCs w:val="18"/>
                <w:lang w:val="en-US"/>
              </w:rPr>
              <w:t xml:space="preserve"> TS 119 172-1 describes the different building blocks for human readable signature policy documents. Some of these elements can be translated directly in input for signature </w:t>
            </w:r>
            <w:r>
              <w:rPr>
                <w:rFonts w:cs="Arial"/>
                <w:szCs w:val="18"/>
                <w:lang w:val="en-US"/>
              </w:rPr>
              <w:t>creation</w:t>
            </w:r>
            <w:r w:rsidRPr="00A7720B">
              <w:rPr>
                <w:rFonts w:cs="Arial"/>
                <w:szCs w:val="18"/>
                <w:lang w:val="en-US"/>
              </w:rPr>
              <w:t xml:space="preserve"> / augmentation or validation processes, like the used / accepted trust anchors or elements to be included into the signature. The goal of this document to capture these elements in machine processable form, </w:t>
            </w:r>
            <w:r w:rsidRPr="007660A9">
              <w:rPr>
                <w:rFonts w:cs="Arial"/>
                <w:b/>
                <w:szCs w:val="18"/>
                <w:lang w:val="en-US"/>
              </w:rPr>
              <w:t>more precisely in ASN.1 format</w:t>
            </w:r>
            <w:r w:rsidRPr="00A7720B">
              <w:rPr>
                <w:rFonts w:cs="Arial"/>
                <w:szCs w:val="18"/>
                <w:lang w:val="en-US"/>
              </w:rPr>
              <w:t>.</w:t>
            </w:r>
            <w:r>
              <w:rPr>
                <w:rFonts w:cs="Arial"/>
                <w:szCs w:val="18"/>
                <w:lang w:val="en-US"/>
              </w:rPr>
              <w:t xml:space="preserve"> This allows to use these signature policies directly as input to the signature creation / augmentation or validation process.</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79DDB7A8" w14:textId="77777777" w:rsidR="00E46006" w:rsidRPr="00E302F4" w:rsidRDefault="00E46006" w:rsidP="00451FEB">
            <w:pPr>
              <w:pStyle w:val="TAL"/>
              <w:rPr>
                <w:rFonts w:cs="Arial"/>
                <w:szCs w:val="18"/>
                <w:lang w:val="en-US"/>
              </w:rPr>
            </w:pPr>
          </w:p>
        </w:tc>
      </w:tr>
      <w:tr w:rsidR="00E46006" w:rsidRPr="00F0769F" w14:paraId="6C17DF8A" w14:textId="77777777" w:rsidTr="00451FEB">
        <w:trPr>
          <w:trHeight w:val="408"/>
          <w:jc w:val="center"/>
        </w:trPr>
        <w:tc>
          <w:tcPr>
            <w:tcW w:w="1223" w:type="dxa"/>
            <w:tcBorders>
              <w:top w:val="single" w:sz="4" w:space="0" w:color="000000"/>
              <w:left w:val="single" w:sz="4" w:space="0" w:color="000000"/>
              <w:bottom w:val="single" w:sz="4" w:space="0" w:color="000000"/>
              <w:right w:val="single" w:sz="4" w:space="0" w:color="000000"/>
            </w:tcBorders>
          </w:tcPr>
          <w:p w14:paraId="0AAF5919" w14:textId="77777777" w:rsidR="00E46006" w:rsidRPr="00F0769F" w:rsidRDefault="00E46006" w:rsidP="00451FEB">
            <w:pPr>
              <w:pStyle w:val="TAC"/>
              <w:spacing w:before="40" w:after="40"/>
              <w:rPr>
                <w:b/>
                <w:lang w:val="en-US"/>
              </w:rPr>
            </w:pPr>
            <w:r>
              <w:rPr>
                <w:b/>
                <w:lang w:val="en-US"/>
              </w:rPr>
              <w:t>WI DTR/ESI-000123</w:t>
            </w:r>
          </w:p>
        </w:tc>
        <w:tc>
          <w:tcPr>
            <w:tcW w:w="617" w:type="dxa"/>
            <w:tcBorders>
              <w:top w:val="single" w:sz="4" w:space="0" w:color="000000"/>
              <w:left w:val="single" w:sz="4" w:space="0" w:color="000000"/>
              <w:bottom w:val="single" w:sz="4" w:space="0" w:color="000000"/>
              <w:right w:val="single" w:sz="4" w:space="0" w:color="000000"/>
            </w:tcBorders>
          </w:tcPr>
          <w:p w14:paraId="03F9D92B" w14:textId="77777777" w:rsidR="00E46006" w:rsidRPr="00877108" w:rsidRDefault="00E46006" w:rsidP="00451FEB">
            <w:pPr>
              <w:pStyle w:val="TAC"/>
              <w:spacing w:before="40" w:after="40"/>
              <w:rPr>
                <w:lang w:val="en-US"/>
              </w:rPr>
            </w:pPr>
            <w:r w:rsidRPr="00877108">
              <w:rPr>
                <w:lang w:val="en-US"/>
              </w:rPr>
              <w:t>TR</w:t>
            </w:r>
          </w:p>
        </w:tc>
        <w:tc>
          <w:tcPr>
            <w:tcW w:w="6135" w:type="dxa"/>
            <w:tcBorders>
              <w:top w:val="single" w:sz="4" w:space="0" w:color="000000"/>
              <w:left w:val="single" w:sz="4" w:space="0" w:color="000000"/>
              <w:bottom w:val="single" w:sz="4" w:space="0" w:color="000000"/>
              <w:right w:val="single" w:sz="4" w:space="0" w:color="000000"/>
            </w:tcBorders>
          </w:tcPr>
          <w:p w14:paraId="230D0C3B" w14:textId="77777777" w:rsidR="00E46006" w:rsidRPr="00877108" w:rsidRDefault="00E46006" w:rsidP="00451FEB">
            <w:pPr>
              <w:pStyle w:val="TAL"/>
              <w:rPr>
                <w:rFonts w:cs="Arial"/>
                <w:szCs w:val="18"/>
              </w:rPr>
            </w:pPr>
            <w:r w:rsidRPr="00877108">
              <w:rPr>
                <w:rFonts w:cs="Arial"/>
                <w:b/>
                <w:szCs w:val="18"/>
                <w:lang w:val="en-US"/>
              </w:rPr>
              <w:t>Title: Global Acceptance of EU Trust Services</w:t>
            </w:r>
          </w:p>
          <w:p w14:paraId="469B0375" w14:textId="77777777" w:rsidR="00E46006" w:rsidRPr="00877108" w:rsidRDefault="00E46006" w:rsidP="00451FEB">
            <w:pPr>
              <w:pStyle w:val="TAL"/>
              <w:rPr>
                <w:rFonts w:cs="Arial"/>
                <w:szCs w:val="18"/>
              </w:rPr>
            </w:pPr>
          </w:p>
          <w:p w14:paraId="43E0790B" w14:textId="77777777" w:rsidR="00E46006" w:rsidRPr="00C43D9D" w:rsidRDefault="00E46006" w:rsidP="00451FEB">
            <w:pPr>
              <w:pStyle w:val="TAL"/>
              <w:rPr>
                <w:rFonts w:cs="Arial"/>
                <w:szCs w:val="18"/>
                <w:lang w:val="en-US"/>
              </w:rPr>
            </w:pPr>
            <w:r w:rsidRPr="00877108">
              <w:rPr>
                <w:rFonts w:cs="Arial"/>
                <w:b/>
                <w:szCs w:val="18"/>
              </w:rPr>
              <w:t>Content:</w:t>
            </w:r>
            <w:r w:rsidRPr="00877108">
              <w:rPr>
                <w:rFonts w:cs="Arial"/>
                <w:szCs w:val="18"/>
                <w:lang w:val="en-US"/>
              </w:rPr>
              <w:t xml:space="preserve"> </w:t>
            </w:r>
            <w:r w:rsidRPr="00215670">
              <w:rPr>
                <w:rFonts w:cs="Arial"/>
                <w:szCs w:val="18"/>
                <w:lang w:val="en-US"/>
              </w:rPr>
              <w:t>This report will assess the relevant differences between existing global PKI schemes and the EU standards for policy requirements, assessment scheme and trust status defined in ETSI EN 319 411, EN 319 401, EN 319 403 and TS 119 612, and identify opportunities to further steps which could be taken to increase European foothold in the global market for Trust Services</w:t>
            </w:r>
            <w:r w:rsidRPr="006C4AAC">
              <w:rPr>
                <w:rFonts w:cs="Arial"/>
                <w:szCs w:val="18"/>
                <w:lang w:val="en-US"/>
              </w:rPr>
              <w:t xml:space="preserve">. </w:t>
            </w:r>
            <w:r w:rsidRPr="00852F53">
              <w:rPr>
                <w:rFonts w:cs="Arial"/>
                <w:szCs w:val="18"/>
                <w:lang w:val="en-US"/>
              </w:rPr>
              <w:t>The following PKI schemes and standards</w:t>
            </w:r>
            <w:r w:rsidRPr="00C43D9D">
              <w:rPr>
                <w:rFonts w:cs="Arial"/>
                <w:szCs w:val="18"/>
                <w:lang w:val="en-US"/>
              </w:rPr>
              <w:t xml:space="preserve"> are considered probable targets:</w:t>
            </w:r>
          </w:p>
          <w:p w14:paraId="15907729" w14:textId="77777777" w:rsidR="00E46006" w:rsidRPr="006A5009" w:rsidRDefault="00E46006" w:rsidP="00E46006">
            <w:pPr>
              <w:pStyle w:val="ListParagraph"/>
              <w:numPr>
                <w:ilvl w:val="0"/>
                <w:numId w:val="29"/>
              </w:numPr>
              <w:spacing w:after="240"/>
              <w:jc w:val="both"/>
              <w:rPr>
                <w:rFonts w:ascii="Arial" w:hAnsi="Arial" w:cs="Arial"/>
                <w:sz w:val="18"/>
                <w:szCs w:val="18"/>
              </w:rPr>
            </w:pPr>
            <w:r w:rsidRPr="006A5009">
              <w:rPr>
                <w:rFonts w:ascii="Arial" w:hAnsi="Arial" w:cs="Arial"/>
                <w:sz w:val="18"/>
                <w:szCs w:val="18"/>
              </w:rPr>
              <w:t>The CA/Browser forum</w:t>
            </w:r>
          </w:p>
          <w:p w14:paraId="62382367" w14:textId="77777777" w:rsidR="00E46006" w:rsidRPr="006A5009" w:rsidRDefault="00E46006" w:rsidP="00E46006">
            <w:pPr>
              <w:pStyle w:val="ListParagraph"/>
              <w:numPr>
                <w:ilvl w:val="0"/>
                <w:numId w:val="29"/>
              </w:numPr>
              <w:spacing w:after="240"/>
              <w:jc w:val="both"/>
              <w:rPr>
                <w:rFonts w:ascii="Arial" w:hAnsi="Arial" w:cs="Arial"/>
                <w:sz w:val="18"/>
                <w:szCs w:val="18"/>
              </w:rPr>
            </w:pPr>
            <w:r w:rsidRPr="006A5009">
              <w:rPr>
                <w:rFonts w:ascii="Arial" w:hAnsi="Arial" w:cs="Arial"/>
                <w:sz w:val="18"/>
                <w:szCs w:val="18"/>
              </w:rPr>
              <w:t>Root certificate programmes of global application providers such as  Mozilla, Google, Microsoft, Amazon, Adobe and Oracle</w:t>
            </w:r>
          </w:p>
          <w:p w14:paraId="1EB31983" w14:textId="77777777" w:rsidR="00E46006" w:rsidRPr="006A5009" w:rsidRDefault="00E46006" w:rsidP="00E46006">
            <w:pPr>
              <w:pStyle w:val="ListParagraph"/>
              <w:numPr>
                <w:ilvl w:val="0"/>
                <w:numId w:val="29"/>
              </w:numPr>
              <w:spacing w:after="240"/>
              <w:jc w:val="both"/>
              <w:rPr>
                <w:rFonts w:ascii="Arial" w:hAnsi="Arial" w:cs="Arial"/>
                <w:sz w:val="18"/>
                <w:szCs w:val="18"/>
              </w:rPr>
            </w:pPr>
            <w:r w:rsidRPr="006A5009">
              <w:rPr>
                <w:rFonts w:ascii="Arial" w:hAnsi="Arial" w:cs="Arial"/>
                <w:sz w:val="18"/>
                <w:szCs w:val="18"/>
              </w:rPr>
              <w:t xml:space="preserve">Sector specific global PKI such as </w:t>
            </w:r>
            <w:proofErr w:type="spellStart"/>
            <w:r w:rsidRPr="006A5009">
              <w:rPr>
                <w:rFonts w:ascii="Arial" w:hAnsi="Arial" w:cs="Arial"/>
                <w:sz w:val="18"/>
                <w:szCs w:val="18"/>
              </w:rPr>
              <w:t>SafeBiopharma</w:t>
            </w:r>
            <w:proofErr w:type="spellEnd"/>
          </w:p>
          <w:p w14:paraId="57E66A10" w14:textId="77777777" w:rsidR="00E46006" w:rsidRPr="006A5009" w:rsidRDefault="00E46006" w:rsidP="00E46006">
            <w:pPr>
              <w:pStyle w:val="ListParagraph"/>
              <w:numPr>
                <w:ilvl w:val="0"/>
                <w:numId w:val="29"/>
              </w:numPr>
              <w:spacing w:after="240"/>
              <w:jc w:val="both"/>
              <w:rPr>
                <w:rFonts w:ascii="Arial" w:hAnsi="Arial" w:cs="Arial"/>
                <w:sz w:val="18"/>
                <w:szCs w:val="18"/>
              </w:rPr>
            </w:pPr>
            <w:r w:rsidRPr="006A5009">
              <w:rPr>
                <w:rFonts w:ascii="Arial" w:hAnsi="Arial" w:cs="Arial"/>
                <w:sz w:val="18"/>
                <w:szCs w:val="18"/>
              </w:rPr>
              <w:t>US federal PKI and associated programs such as National Strategy for Trusted Identities in Cyberspace (NSTIC)</w:t>
            </w:r>
          </w:p>
          <w:p w14:paraId="3D7FDFD9" w14:textId="77777777" w:rsidR="00E46006" w:rsidRPr="006A5009" w:rsidRDefault="00E46006" w:rsidP="00E46006">
            <w:pPr>
              <w:pStyle w:val="ListParagraph"/>
              <w:numPr>
                <w:ilvl w:val="0"/>
                <w:numId w:val="29"/>
              </w:numPr>
              <w:spacing w:after="240"/>
              <w:jc w:val="both"/>
              <w:rPr>
                <w:rFonts w:ascii="Arial" w:hAnsi="Arial" w:cs="Arial"/>
                <w:sz w:val="18"/>
                <w:szCs w:val="18"/>
              </w:rPr>
            </w:pPr>
            <w:r w:rsidRPr="006A5009">
              <w:rPr>
                <w:rFonts w:ascii="Arial" w:hAnsi="Arial" w:cs="Arial"/>
                <w:sz w:val="18"/>
                <w:szCs w:val="18"/>
              </w:rPr>
              <w:t>Far eastern communities such as Asia PKI Consortium, Association of South East Asian Nations, Chinese Electronic Certification Services Systems, Japan Institute for Promotion of Digital Economy and Community</w:t>
            </w:r>
          </w:p>
          <w:p w14:paraId="6DBB6138" w14:textId="77777777" w:rsidR="00E46006" w:rsidRPr="006A5009" w:rsidRDefault="00E46006" w:rsidP="00E46006">
            <w:pPr>
              <w:pStyle w:val="ListParagraph"/>
              <w:numPr>
                <w:ilvl w:val="0"/>
                <w:numId w:val="29"/>
              </w:numPr>
              <w:spacing w:after="240"/>
              <w:jc w:val="both"/>
              <w:rPr>
                <w:rFonts w:ascii="Arial" w:hAnsi="Arial" w:cs="Arial"/>
                <w:sz w:val="18"/>
                <w:szCs w:val="18"/>
              </w:rPr>
            </w:pPr>
            <w:r w:rsidRPr="006A5009">
              <w:rPr>
                <w:rFonts w:ascii="Arial" w:hAnsi="Arial" w:cs="Arial"/>
                <w:sz w:val="18"/>
                <w:szCs w:val="18"/>
              </w:rPr>
              <w:t xml:space="preserve">Arab PKI forum and other middle eastern communities </w:t>
            </w:r>
          </w:p>
          <w:p w14:paraId="488D95EF" w14:textId="77777777" w:rsidR="00E46006" w:rsidRPr="006A5009" w:rsidRDefault="00E46006" w:rsidP="00E46006">
            <w:pPr>
              <w:pStyle w:val="ListParagraph"/>
              <w:numPr>
                <w:ilvl w:val="0"/>
                <w:numId w:val="29"/>
              </w:numPr>
              <w:spacing w:after="160" w:line="259" w:lineRule="auto"/>
              <w:rPr>
                <w:rFonts w:ascii="Arial" w:hAnsi="Arial" w:cs="Arial"/>
                <w:sz w:val="18"/>
                <w:szCs w:val="18"/>
              </w:rPr>
            </w:pPr>
            <w:r w:rsidRPr="006A5009">
              <w:rPr>
                <w:rFonts w:ascii="Arial" w:hAnsi="Arial" w:cs="Arial"/>
                <w:sz w:val="18"/>
                <w:szCs w:val="18"/>
              </w:rPr>
              <w:t>Common Market for Eastern and Southern Africa</w:t>
            </w:r>
          </w:p>
          <w:p w14:paraId="5C1EA2BE" w14:textId="09DBBE94" w:rsidR="00E46006" w:rsidRPr="006A5009" w:rsidRDefault="00E46006" w:rsidP="00451FEB">
            <w:pPr>
              <w:pStyle w:val="ListParagraph"/>
              <w:numPr>
                <w:ilvl w:val="0"/>
                <w:numId w:val="29"/>
              </w:numPr>
              <w:spacing w:after="160" w:line="259" w:lineRule="auto"/>
              <w:rPr>
                <w:rFonts w:ascii="Arial" w:hAnsi="Arial" w:cs="Arial"/>
                <w:sz w:val="18"/>
                <w:szCs w:val="18"/>
              </w:rPr>
            </w:pPr>
            <w:r w:rsidRPr="006A5009">
              <w:rPr>
                <w:rFonts w:ascii="Arial" w:hAnsi="Arial" w:cs="Arial"/>
                <w:sz w:val="18"/>
                <w:szCs w:val="18"/>
              </w:rPr>
              <w:t xml:space="preserve">ISO/IEC JTC1 SC 27 guidance on PKI service providers </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1E56340F" w14:textId="77777777" w:rsidR="00E46006" w:rsidRPr="00E302F4" w:rsidRDefault="00E46006" w:rsidP="00451FEB">
            <w:pPr>
              <w:pStyle w:val="TAL"/>
              <w:rPr>
                <w:rFonts w:cs="Arial"/>
                <w:szCs w:val="18"/>
                <w:lang w:val="en-US"/>
              </w:rPr>
            </w:pPr>
          </w:p>
        </w:tc>
      </w:tr>
      <w:tr w:rsidR="00E46006" w:rsidRPr="00F0769F" w14:paraId="72280ECC" w14:textId="77777777" w:rsidTr="00451FEB">
        <w:trPr>
          <w:trHeight w:val="854"/>
          <w:jc w:val="center"/>
        </w:trPr>
        <w:tc>
          <w:tcPr>
            <w:tcW w:w="1223" w:type="dxa"/>
            <w:tcBorders>
              <w:top w:val="single" w:sz="4" w:space="0" w:color="000000"/>
              <w:left w:val="single" w:sz="4" w:space="0" w:color="000000"/>
              <w:bottom w:val="single" w:sz="4" w:space="0" w:color="000000"/>
              <w:right w:val="single" w:sz="4" w:space="0" w:color="000000"/>
            </w:tcBorders>
          </w:tcPr>
          <w:p w14:paraId="6AE7A4E5" w14:textId="77777777" w:rsidR="00E46006" w:rsidRDefault="00E46006" w:rsidP="00451FEB">
            <w:pPr>
              <w:pStyle w:val="TAC"/>
              <w:spacing w:before="40" w:after="40"/>
              <w:rPr>
                <w:b/>
                <w:lang w:val="en-US"/>
              </w:rPr>
            </w:pPr>
            <w:r>
              <w:rPr>
                <w:b/>
                <w:lang w:val="en-US"/>
              </w:rPr>
              <w:t>Not a formal ETSI publication</w:t>
            </w:r>
          </w:p>
        </w:tc>
        <w:tc>
          <w:tcPr>
            <w:tcW w:w="617" w:type="dxa"/>
            <w:tcBorders>
              <w:top w:val="single" w:sz="4" w:space="0" w:color="000000"/>
              <w:left w:val="single" w:sz="4" w:space="0" w:color="000000"/>
              <w:bottom w:val="single" w:sz="4" w:space="0" w:color="000000"/>
              <w:right w:val="single" w:sz="4" w:space="0" w:color="000000"/>
            </w:tcBorders>
          </w:tcPr>
          <w:p w14:paraId="53ADD775" w14:textId="77777777" w:rsidR="00E46006" w:rsidRDefault="00E46006" w:rsidP="00451FEB">
            <w:pPr>
              <w:pStyle w:val="TAC"/>
              <w:spacing w:before="40" w:after="40"/>
              <w:rPr>
                <w:lang w:val="en-US"/>
              </w:rPr>
            </w:pPr>
          </w:p>
        </w:tc>
        <w:tc>
          <w:tcPr>
            <w:tcW w:w="6135" w:type="dxa"/>
            <w:tcBorders>
              <w:top w:val="single" w:sz="4" w:space="0" w:color="000000"/>
              <w:left w:val="single" w:sz="4" w:space="0" w:color="000000"/>
              <w:bottom w:val="single" w:sz="4" w:space="0" w:color="000000"/>
              <w:right w:val="single" w:sz="4" w:space="0" w:color="000000"/>
            </w:tcBorders>
          </w:tcPr>
          <w:p w14:paraId="4F2F7D7E" w14:textId="77777777" w:rsidR="00E46006" w:rsidRPr="001415DD" w:rsidRDefault="00E46006" w:rsidP="00451FEB">
            <w:pPr>
              <w:rPr>
                <w:rFonts w:cs="Arial"/>
                <w:b/>
                <w:sz w:val="18"/>
                <w:szCs w:val="18"/>
              </w:rPr>
            </w:pPr>
            <w:r w:rsidRPr="006F17BF">
              <w:rPr>
                <w:rFonts w:cs="Arial"/>
                <w:b/>
                <w:sz w:val="18"/>
                <w:szCs w:val="18"/>
              </w:rPr>
              <w:t>Title: Report</w:t>
            </w:r>
            <w:r>
              <w:rPr>
                <w:rFonts w:cs="Arial"/>
                <w:b/>
                <w:sz w:val="18"/>
                <w:szCs w:val="18"/>
              </w:rPr>
              <w:t>s</w:t>
            </w:r>
            <w:r w:rsidRPr="006F17BF">
              <w:rPr>
                <w:rFonts w:cs="Arial"/>
                <w:b/>
                <w:sz w:val="18"/>
                <w:szCs w:val="18"/>
              </w:rPr>
              <w:t xml:space="preserve"> on </w:t>
            </w:r>
            <w:r>
              <w:rPr>
                <w:rFonts w:cs="Arial"/>
                <w:b/>
                <w:sz w:val="18"/>
                <w:szCs w:val="18"/>
              </w:rPr>
              <w:t xml:space="preserve">the 3 </w:t>
            </w:r>
            <w:r w:rsidRPr="006F17BF">
              <w:rPr>
                <w:rFonts w:cs="Arial"/>
                <w:b/>
                <w:sz w:val="18"/>
                <w:szCs w:val="18"/>
              </w:rPr>
              <w:t>International workshop</w:t>
            </w:r>
            <w:r>
              <w:rPr>
                <w:rFonts w:cs="Arial"/>
                <w:b/>
                <w:sz w:val="18"/>
                <w:szCs w:val="18"/>
              </w:rPr>
              <w:t>s</w:t>
            </w:r>
            <w:r w:rsidRPr="006F17BF">
              <w:rPr>
                <w:rFonts w:cs="Arial"/>
                <w:b/>
                <w:sz w:val="18"/>
                <w:szCs w:val="18"/>
              </w:rPr>
              <w:t xml:space="preserve"> on global acceptance of EU Trust Se</w:t>
            </w:r>
            <w:r w:rsidRPr="001415DD">
              <w:rPr>
                <w:rFonts w:cs="Arial"/>
                <w:b/>
                <w:sz w:val="18"/>
                <w:szCs w:val="18"/>
              </w:rPr>
              <w:t>rvices</w:t>
            </w:r>
          </w:p>
          <w:p w14:paraId="6BEE2A61" w14:textId="77777777" w:rsidR="00E46006" w:rsidRPr="006F17BF" w:rsidRDefault="00E46006" w:rsidP="00451FEB">
            <w:pPr>
              <w:rPr>
                <w:rFonts w:cs="Arial"/>
                <w:szCs w:val="18"/>
                <w:lang w:val="en-US"/>
              </w:rPr>
            </w:pPr>
            <w:r w:rsidRPr="00227F77">
              <w:rPr>
                <w:rFonts w:cs="Arial"/>
                <w:b/>
                <w:sz w:val="18"/>
                <w:szCs w:val="18"/>
              </w:rPr>
              <w:t>Content</w:t>
            </w:r>
            <w:r w:rsidRPr="00227F77">
              <w:rPr>
                <w:rFonts w:cs="Arial"/>
                <w:sz w:val="18"/>
                <w:szCs w:val="18"/>
              </w:rPr>
              <w:t xml:space="preserve">: </w:t>
            </w:r>
            <w:r>
              <w:rPr>
                <w:rFonts w:cs="Arial"/>
                <w:sz w:val="18"/>
                <w:szCs w:val="18"/>
              </w:rPr>
              <w:t>three</w:t>
            </w:r>
            <w:r w:rsidRPr="00227F77">
              <w:rPr>
                <w:rFonts w:cs="Arial"/>
                <w:sz w:val="18"/>
                <w:szCs w:val="18"/>
              </w:rPr>
              <w:t xml:space="preserve"> </w:t>
            </w:r>
            <w:r>
              <w:rPr>
                <w:rFonts w:cs="Arial"/>
                <w:sz w:val="18"/>
                <w:szCs w:val="18"/>
              </w:rPr>
              <w:t>r</w:t>
            </w:r>
            <w:r w:rsidRPr="00227F77">
              <w:rPr>
                <w:rFonts w:cs="Arial"/>
                <w:sz w:val="18"/>
                <w:szCs w:val="18"/>
              </w:rPr>
              <w:t>eport</w:t>
            </w:r>
            <w:r>
              <w:rPr>
                <w:rFonts w:cs="Arial"/>
                <w:sz w:val="18"/>
                <w:szCs w:val="18"/>
              </w:rPr>
              <w:t>s</w:t>
            </w:r>
            <w:r w:rsidRPr="00227F77">
              <w:rPr>
                <w:rFonts w:cs="Arial"/>
                <w:sz w:val="18"/>
                <w:szCs w:val="18"/>
              </w:rPr>
              <w:t xml:space="preserve"> of </w:t>
            </w:r>
            <w:r>
              <w:rPr>
                <w:rFonts w:cs="Arial"/>
                <w:sz w:val="18"/>
                <w:szCs w:val="18"/>
              </w:rPr>
              <w:t>the 3</w:t>
            </w:r>
            <w:r w:rsidRPr="00227F77">
              <w:rPr>
                <w:rFonts w:cs="Arial"/>
                <w:sz w:val="18"/>
                <w:szCs w:val="18"/>
              </w:rPr>
              <w:t xml:space="preserve"> international workshop</w:t>
            </w:r>
            <w:r>
              <w:rPr>
                <w:rFonts w:cs="Arial"/>
                <w:sz w:val="18"/>
                <w:szCs w:val="18"/>
              </w:rPr>
              <w:t>s</w:t>
            </w:r>
            <w:r w:rsidRPr="00227F77">
              <w:rPr>
                <w:rFonts w:cs="Arial"/>
                <w:sz w:val="18"/>
                <w:szCs w:val="18"/>
              </w:rPr>
              <w:t xml:space="preserve"> with EU stakeholders and representatives of interests in global PKI schemes (such </w:t>
            </w:r>
            <w:r w:rsidRPr="001415DD">
              <w:rPr>
                <w:rFonts w:cs="Arial"/>
                <w:sz w:val="18"/>
                <w:szCs w:val="18"/>
              </w:rPr>
              <w:t xml:space="preserve">as listed above). It is proposed </w:t>
            </w:r>
            <w:r>
              <w:rPr>
                <w:rFonts w:cs="Arial"/>
                <w:sz w:val="18"/>
                <w:szCs w:val="18"/>
              </w:rPr>
              <w:t>to hold one workshop in US, one in Japan and one in Southern Europe or Middle-East</w:t>
            </w:r>
            <w:r w:rsidRPr="00852F53">
              <w:rPr>
                <w:rFonts w:cs="Arial"/>
                <w:sz w:val="18"/>
                <w:szCs w:val="18"/>
              </w:rPr>
              <w:t xml:space="preserve"> where a number of the key stakeholders</w:t>
            </w:r>
            <w:r w:rsidRPr="00C5202D">
              <w:rPr>
                <w:rFonts w:cs="Arial"/>
                <w:sz w:val="18"/>
                <w:szCs w:val="18"/>
              </w:rPr>
              <w:t xml:space="preserve"> in</w:t>
            </w:r>
            <w:r w:rsidRPr="00227F77">
              <w:rPr>
                <w:rFonts w:cs="Arial"/>
                <w:sz w:val="18"/>
                <w:szCs w:val="18"/>
              </w:rPr>
              <w:t xml:space="preserve"> </w:t>
            </w:r>
            <w:r>
              <w:rPr>
                <w:rFonts w:cs="Arial"/>
                <w:sz w:val="18"/>
                <w:szCs w:val="18"/>
              </w:rPr>
              <w:t xml:space="preserve">the </w:t>
            </w:r>
            <w:r w:rsidRPr="00227F77">
              <w:rPr>
                <w:rFonts w:cs="Arial"/>
                <w:sz w:val="18"/>
                <w:szCs w:val="18"/>
              </w:rPr>
              <w:t xml:space="preserve">global PKI </w:t>
            </w:r>
            <w:r w:rsidRPr="006F17BF">
              <w:rPr>
                <w:rFonts w:cs="Arial"/>
                <w:sz w:val="18"/>
                <w:szCs w:val="18"/>
              </w:rPr>
              <w:t>market are based.</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2ADCC2C0" w14:textId="77777777" w:rsidR="00E46006" w:rsidRPr="00E302F4" w:rsidRDefault="00E46006" w:rsidP="00451FEB">
            <w:pPr>
              <w:pStyle w:val="TAL"/>
              <w:rPr>
                <w:rFonts w:cs="Arial"/>
                <w:szCs w:val="18"/>
                <w:lang w:val="en-US"/>
              </w:rPr>
            </w:pPr>
          </w:p>
        </w:tc>
      </w:tr>
    </w:tbl>
    <w:p w14:paraId="05CC9A27" w14:textId="412AF825" w:rsidR="00451FEB" w:rsidRDefault="00451FEB" w:rsidP="00E46006"/>
    <w:p w14:paraId="755E63E3" w14:textId="1DEF7C45" w:rsidR="00E46006" w:rsidRDefault="00E46006" w:rsidP="00500E4A">
      <w:pPr>
        <w:tabs>
          <w:tab w:val="clear" w:pos="1418"/>
          <w:tab w:val="clear" w:pos="4678"/>
          <w:tab w:val="clear" w:pos="5954"/>
          <w:tab w:val="clear" w:pos="7088"/>
        </w:tabs>
        <w:overflowPunct/>
        <w:autoSpaceDE/>
        <w:autoSpaceDN/>
        <w:adjustRightInd/>
        <w:jc w:val="left"/>
        <w:textAlignment w:val="auto"/>
      </w:pPr>
    </w:p>
    <w:p w14:paraId="35815618" w14:textId="021F7AFF" w:rsidR="00E46006" w:rsidRPr="00DF4ACD" w:rsidRDefault="00E46006" w:rsidP="00DF4ACD">
      <w:pPr>
        <w:pStyle w:val="TH"/>
        <w:jc w:val="left"/>
        <w:rPr>
          <w:u w:val="single"/>
          <w:lang w:val="en-US"/>
        </w:rPr>
      </w:pPr>
      <w:r w:rsidRPr="00DF4ACD">
        <w:rPr>
          <w:u w:val="single"/>
          <w:lang w:val="en-US"/>
        </w:rPr>
        <w:lastRenderedPageBreak/>
        <w:t xml:space="preserve">Table </w:t>
      </w:r>
      <w:bookmarkStart w:id="4" w:name="TAB_REP_DELIVERABLES"/>
      <w:r w:rsidRPr="00DF4ACD">
        <w:rPr>
          <w:u w:val="single"/>
          <w:lang w:val="en-US"/>
        </w:rPr>
        <w:fldChar w:fldCharType="begin"/>
      </w:r>
      <w:r w:rsidRPr="00DF4ACD">
        <w:rPr>
          <w:u w:val="single"/>
          <w:lang w:val="en-US"/>
        </w:rPr>
        <w:instrText xml:space="preserve"> SEQ TAB \* MERGEFORMAT </w:instrText>
      </w:r>
      <w:r w:rsidRPr="00DF4ACD">
        <w:rPr>
          <w:u w:val="single"/>
          <w:lang w:val="en-US"/>
        </w:rPr>
        <w:fldChar w:fldCharType="separate"/>
      </w:r>
      <w:r w:rsidR="006A5009">
        <w:rPr>
          <w:noProof/>
          <w:u w:val="single"/>
          <w:lang w:val="en-US"/>
        </w:rPr>
        <w:t>2</w:t>
      </w:r>
      <w:r w:rsidRPr="00DF4ACD">
        <w:rPr>
          <w:u w:val="single"/>
          <w:lang w:val="en-US"/>
        </w:rPr>
        <w:fldChar w:fldCharType="end"/>
      </w:r>
      <w:bookmarkEnd w:id="4"/>
      <w:r w:rsidRPr="00DF4ACD">
        <w:rPr>
          <w:u w:val="single"/>
          <w:lang w:val="en-US"/>
        </w:rPr>
        <w:t>: List of deliverables</w:t>
      </w:r>
    </w:p>
    <w:tbl>
      <w:tblPr>
        <w:tblW w:w="8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firstRow="1" w:lastRow="0" w:firstColumn="1" w:lastColumn="0" w:noHBand="0" w:noVBand="1"/>
      </w:tblPr>
      <w:tblGrid>
        <w:gridCol w:w="2384"/>
        <w:gridCol w:w="5130"/>
        <w:gridCol w:w="1192"/>
      </w:tblGrid>
      <w:tr w:rsidR="00E46006" w:rsidRPr="00765DEC" w14:paraId="699B20AD" w14:textId="77777777" w:rsidTr="007E6A3F">
        <w:trPr>
          <w:cantSplit/>
          <w:tblHeader/>
          <w:jc w:val="center"/>
        </w:trPr>
        <w:tc>
          <w:tcPr>
            <w:tcW w:w="2399" w:type="dxa"/>
            <w:shd w:val="clear" w:color="auto" w:fill="BDD6EE" w:themeFill="accent1" w:themeFillTint="66"/>
          </w:tcPr>
          <w:p w14:paraId="3DD0A29F" w14:textId="77777777" w:rsidR="00E46006" w:rsidRPr="00765DEC" w:rsidRDefault="00E46006" w:rsidP="00451FEB">
            <w:pPr>
              <w:pStyle w:val="TAH"/>
              <w:spacing w:before="40" w:after="40"/>
            </w:pPr>
            <w:r w:rsidRPr="00765DEC">
              <w:t xml:space="preserve">Deliverable </w:t>
            </w:r>
            <w:r>
              <w:t>ID</w:t>
            </w:r>
          </w:p>
        </w:tc>
        <w:tc>
          <w:tcPr>
            <w:tcW w:w="5171" w:type="dxa"/>
            <w:shd w:val="clear" w:color="auto" w:fill="BDD6EE" w:themeFill="accent1" w:themeFillTint="66"/>
          </w:tcPr>
          <w:p w14:paraId="07FB87AE" w14:textId="77777777" w:rsidR="00E46006" w:rsidRPr="00765DEC" w:rsidRDefault="00E46006" w:rsidP="00451FEB">
            <w:pPr>
              <w:pStyle w:val="TAH"/>
              <w:spacing w:before="40" w:after="40"/>
            </w:pPr>
            <w:r w:rsidRPr="00765DEC">
              <w:t>Title and Contents</w:t>
            </w:r>
          </w:p>
        </w:tc>
        <w:tc>
          <w:tcPr>
            <w:tcW w:w="1136" w:type="dxa"/>
            <w:tcBorders>
              <w:bottom w:val="single" w:sz="4" w:space="0" w:color="000000"/>
            </w:tcBorders>
            <w:shd w:val="clear" w:color="auto" w:fill="BDD6EE" w:themeFill="accent1" w:themeFillTint="66"/>
          </w:tcPr>
          <w:p w14:paraId="5790D07D" w14:textId="77777777" w:rsidR="00E46006" w:rsidRPr="00765DEC" w:rsidRDefault="00E46006" w:rsidP="00451FEB">
            <w:pPr>
              <w:pStyle w:val="TAH"/>
              <w:spacing w:before="40" w:after="40"/>
            </w:pPr>
            <w:r w:rsidRPr="00765DEC">
              <w:t>Publisher</w:t>
            </w:r>
          </w:p>
        </w:tc>
      </w:tr>
      <w:tr w:rsidR="00E46006" w:rsidRPr="00765DEC" w14:paraId="7F05F414" w14:textId="77777777" w:rsidTr="00DF4ACD">
        <w:trPr>
          <w:trHeight w:val="408"/>
          <w:tblHeader/>
          <w:jc w:val="center"/>
        </w:trPr>
        <w:tc>
          <w:tcPr>
            <w:tcW w:w="2399" w:type="dxa"/>
            <w:tcBorders>
              <w:top w:val="single" w:sz="4" w:space="0" w:color="000000"/>
              <w:left w:val="single" w:sz="4" w:space="0" w:color="000000"/>
              <w:bottom w:val="single" w:sz="4" w:space="0" w:color="000000"/>
              <w:right w:val="single" w:sz="4" w:space="0" w:color="000000"/>
            </w:tcBorders>
            <w:vAlign w:val="center"/>
          </w:tcPr>
          <w:p w14:paraId="7F4181CF" w14:textId="77777777" w:rsidR="00E46006" w:rsidRPr="008207D1" w:rsidRDefault="00E46006" w:rsidP="00451FEB">
            <w:pPr>
              <w:pStyle w:val="TAC"/>
              <w:spacing w:before="40" w:after="40"/>
              <w:ind w:left="84"/>
              <w:rPr>
                <w:sz w:val="20"/>
              </w:rPr>
            </w:pPr>
            <w:r w:rsidRPr="008207D1">
              <w:rPr>
                <w:rFonts w:cs="Arial"/>
                <w:sz w:val="20"/>
              </w:rPr>
              <w:t>Interim Report (IR1)</w:t>
            </w:r>
          </w:p>
        </w:tc>
        <w:tc>
          <w:tcPr>
            <w:tcW w:w="5171" w:type="dxa"/>
            <w:tcBorders>
              <w:top w:val="single" w:sz="4" w:space="0" w:color="000000"/>
              <w:left w:val="single" w:sz="4" w:space="0" w:color="000000"/>
              <w:bottom w:val="single" w:sz="4" w:space="0" w:color="000000"/>
              <w:right w:val="single" w:sz="4" w:space="0" w:color="000000"/>
            </w:tcBorders>
          </w:tcPr>
          <w:p w14:paraId="0F1DD0CC" w14:textId="77777777" w:rsidR="00E46006" w:rsidRPr="008207D1" w:rsidRDefault="00E46006" w:rsidP="00451FEB">
            <w:pPr>
              <w:pStyle w:val="TAL"/>
              <w:spacing w:before="40" w:after="40"/>
              <w:ind w:left="69"/>
              <w:rPr>
                <w:sz w:val="20"/>
              </w:rPr>
            </w:pPr>
            <w:r w:rsidRPr="008207D1">
              <w:rPr>
                <w:b/>
                <w:sz w:val="20"/>
              </w:rPr>
              <w:t>Title</w:t>
            </w:r>
            <w:r w:rsidRPr="008207D1">
              <w:rPr>
                <w:sz w:val="20"/>
              </w:rPr>
              <w:t>: Interim Report</w:t>
            </w:r>
          </w:p>
          <w:p w14:paraId="05DFD97C" w14:textId="77777777" w:rsidR="00E46006" w:rsidRPr="008207D1" w:rsidRDefault="00E46006" w:rsidP="00451FEB">
            <w:pPr>
              <w:pStyle w:val="TAL"/>
              <w:spacing w:before="40" w:after="40"/>
              <w:ind w:left="69"/>
              <w:rPr>
                <w:sz w:val="20"/>
              </w:rPr>
            </w:pPr>
            <w:r w:rsidRPr="008207D1">
              <w:rPr>
                <w:b/>
                <w:sz w:val="20"/>
              </w:rPr>
              <w:t>Content</w:t>
            </w:r>
            <w:r w:rsidRPr="008207D1">
              <w:rPr>
                <w:sz w:val="20"/>
              </w:rPr>
              <w:t>: This report will include:</w:t>
            </w:r>
          </w:p>
          <w:p w14:paraId="77A72670" w14:textId="77777777" w:rsidR="00E46006" w:rsidRPr="008207D1" w:rsidRDefault="00E46006" w:rsidP="00451FEB">
            <w:pPr>
              <w:pStyle w:val="TAL"/>
              <w:spacing w:before="40" w:after="40"/>
              <w:ind w:left="213"/>
              <w:rPr>
                <w:sz w:val="20"/>
              </w:rPr>
            </w:pPr>
            <w:r w:rsidRPr="008207D1">
              <w:rPr>
                <w:sz w:val="20"/>
              </w:rPr>
              <w:t>1. The report on the activities performed, on the coordination of the STF activity and the production of the expected deliverables in the different areas of the framework.</w:t>
            </w:r>
          </w:p>
          <w:p w14:paraId="627A7FF6" w14:textId="77777777" w:rsidR="00E46006" w:rsidRPr="008207D1" w:rsidRDefault="00E46006" w:rsidP="00451FEB">
            <w:pPr>
              <w:pStyle w:val="TAL"/>
              <w:spacing w:before="40" w:after="40"/>
              <w:ind w:left="213"/>
              <w:rPr>
                <w:sz w:val="20"/>
              </w:rPr>
            </w:pPr>
            <w:r w:rsidRPr="008207D1">
              <w:rPr>
                <w:sz w:val="20"/>
              </w:rPr>
              <w:t xml:space="preserve">2. Latest drafts of the available deliverables. </w:t>
            </w:r>
          </w:p>
          <w:p w14:paraId="136ED9E7" w14:textId="7193F7B7" w:rsidR="00E46006" w:rsidRPr="008207D1" w:rsidRDefault="00E46006" w:rsidP="006A5009">
            <w:pPr>
              <w:pStyle w:val="TAL"/>
              <w:spacing w:before="40" w:after="40"/>
              <w:ind w:left="213"/>
              <w:rPr>
                <w:sz w:val="20"/>
              </w:rPr>
            </w:pPr>
            <w:r w:rsidRPr="008207D1">
              <w:rPr>
                <w:sz w:val="20"/>
              </w:rPr>
              <w:t xml:space="preserve">3. Report of specific meetings held with EU groups, projects, recognised standards organizations or other organisations representing communities of interest </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A1C22" w14:textId="77777777" w:rsidR="00E46006" w:rsidRPr="008207D1" w:rsidRDefault="00E46006" w:rsidP="00451FEB">
            <w:pPr>
              <w:pStyle w:val="TAL"/>
              <w:spacing w:before="40" w:after="40"/>
              <w:ind w:left="99"/>
              <w:rPr>
                <w:sz w:val="20"/>
              </w:rPr>
            </w:pPr>
            <w:r w:rsidRPr="008207D1">
              <w:rPr>
                <w:sz w:val="20"/>
              </w:rPr>
              <w:t>No formal publication</w:t>
            </w:r>
          </w:p>
        </w:tc>
      </w:tr>
      <w:tr w:rsidR="00E46006" w:rsidRPr="00765DEC" w14:paraId="336D409F" w14:textId="77777777" w:rsidTr="00DF4ACD">
        <w:trPr>
          <w:trHeight w:val="408"/>
          <w:tblHeader/>
          <w:jc w:val="center"/>
        </w:trPr>
        <w:tc>
          <w:tcPr>
            <w:tcW w:w="2399" w:type="dxa"/>
            <w:tcBorders>
              <w:top w:val="single" w:sz="4" w:space="0" w:color="000000"/>
              <w:left w:val="single" w:sz="4" w:space="0" w:color="000000"/>
              <w:bottom w:val="single" w:sz="4" w:space="0" w:color="000000"/>
              <w:right w:val="single" w:sz="4" w:space="0" w:color="000000"/>
            </w:tcBorders>
            <w:vAlign w:val="center"/>
          </w:tcPr>
          <w:p w14:paraId="22719828" w14:textId="77777777" w:rsidR="00E46006" w:rsidRPr="008207D1" w:rsidRDefault="00E46006" w:rsidP="00451FEB">
            <w:pPr>
              <w:pStyle w:val="TAC"/>
              <w:spacing w:before="40" w:after="40"/>
              <w:ind w:left="84"/>
              <w:rPr>
                <w:sz w:val="20"/>
              </w:rPr>
            </w:pPr>
            <w:r w:rsidRPr="008207D1">
              <w:rPr>
                <w:rFonts w:cs="Arial"/>
                <w:sz w:val="20"/>
              </w:rPr>
              <w:t>Final Report (FR)</w:t>
            </w:r>
          </w:p>
        </w:tc>
        <w:tc>
          <w:tcPr>
            <w:tcW w:w="5171" w:type="dxa"/>
            <w:tcBorders>
              <w:top w:val="single" w:sz="4" w:space="0" w:color="000000"/>
              <w:left w:val="single" w:sz="4" w:space="0" w:color="000000"/>
              <w:bottom w:val="single" w:sz="4" w:space="0" w:color="000000"/>
              <w:right w:val="single" w:sz="4" w:space="0" w:color="000000"/>
            </w:tcBorders>
          </w:tcPr>
          <w:p w14:paraId="7AE6F7CA" w14:textId="77777777" w:rsidR="00E46006" w:rsidRPr="008207D1" w:rsidRDefault="00E46006" w:rsidP="00451FEB">
            <w:pPr>
              <w:pStyle w:val="TAL"/>
              <w:spacing w:before="40" w:after="40"/>
              <w:ind w:left="69"/>
              <w:rPr>
                <w:sz w:val="20"/>
              </w:rPr>
            </w:pPr>
            <w:r w:rsidRPr="008207D1">
              <w:rPr>
                <w:b/>
                <w:sz w:val="20"/>
              </w:rPr>
              <w:t>Title</w:t>
            </w:r>
            <w:r w:rsidRPr="008207D1">
              <w:rPr>
                <w:sz w:val="20"/>
              </w:rPr>
              <w:t xml:space="preserve">: Final Report </w:t>
            </w:r>
          </w:p>
          <w:p w14:paraId="09BD089B" w14:textId="77777777" w:rsidR="00E46006" w:rsidRPr="008207D1" w:rsidRDefault="00E46006" w:rsidP="00451FEB">
            <w:pPr>
              <w:pStyle w:val="TAL"/>
              <w:spacing w:before="40" w:after="40"/>
              <w:ind w:left="69"/>
              <w:rPr>
                <w:sz w:val="20"/>
              </w:rPr>
            </w:pPr>
            <w:r w:rsidRPr="008207D1">
              <w:rPr>
                <w:b/>
                <w:sz w:val="20"/>
              </w:rPr>
              <w:t>Content</w:t>
            </w:r>
            <w:r w:rsidRPr="008207D1">
              <w:rPr>
                <w:sz w:val="20"/>
              </w:rPr>
              <w:t>: This report will include:</w:t>
            </w:r>
          </w:p>
          <w:p w14:paraId="33FFDE7A" w14:textId="77777777" w:rsidR="00E46006" w:rsidRPr="008207D1" w:rsidRDefault="00E46006" w:rsidP="00E46006">
            <w:pPr>
              <w:pStyle w:val="TAL"/>
              <w:numPr>
                <w:ilvl w:val="1"/>
                <w:numId w:val="26"/>
              </w:numPr>
              <w:spacing w:before="40" w:after="40"/>
              <w:ind w:left="355" w:hanging="205"/>
              <w:rPr>
                <w:sz w:val="20"/>
              </w:rPr>
            </w:pPr>
            <w:r w:rsidRPr="008207D1">
              <w:rPr>
                <w:sz w:val="20"/>
              </w:rPr>
              <w:t>The report on the activities performed, on the coordination of the STF activity and the production of the expected deliverables in the different areas of the framework.</w:t>
            </w:r>
          </w:p>
          <w:p w14:paraId="7A06C2B0" w14:textId="77777777" w:rsidR="00E46006" w:rsidRPr="008207D1" w:rsidRDefault="00E46006" w:rsidP="00E46006">
            <w:pPr>
              <w:pStyle w:val="TAL"/>
              <w:numPr>
                <w:ilvl w:val="1"/>
                <w:numId w:val="26"/>
              </w:numPr>
              <w:spacing w:before="40" w:after="40"/>
              <w:ind w:left="355" w:hanging="205"/>
              <w:rPr>
                <w:sz w:val="20"/>
              </w:rPr>
            </w:pPr>
            <w:r w:rsidRPr="008207D1">
              <w:rPr>
                <w:sz w:val="20"/>
              </w:rPr>
              <w:t>Published versions of ETSI deliverables (as in Table 1).</w:t>
            </w:r>
          </w:p>
          <w:p w14:paraId="7067C801" w14:textId="77777777" w:rsidR="00E46006" w:rsidRPr="008207D1" w:rsidRDefault="00E46006" w:rsidP="00E46006">
            <w:pPr>
              <w:pStyle w:val="TAL"/>
              <w:numPr>
                <w:ilvl w:val="1"/>
                <w:numId w:val="26"/>
              </w:numPr>
              <w:spacing w:before="40" w:after="40"/>
              <w:ind w:left="355" w:hanging="205"/>
              <w:rPr>
                <w:sz w:val="20"/>
              </w:rPr>
            </w:pPr>
            <w:r w:rsidRPr="008207D1">
              <w:rPr>
                <w:sz w:val="20"/>
              </w:rPr>
              <w:t>Detailed report of the performance indicators outlined in clause 6 of this proposal including the initiatives for dissemination of the work done.</w:t>
            </w:r>
          </w:p>
          <w:p w14:paraId="5870C81F" w14:textId="77777777" w:rsidR="00E46006" w:rsidRPr="008207D1" w:rsidRDefault="00E46006" w:rsidP="00E46006">
            <w:pPr>
              <w:pStyle w:val="TAL"/>
              <w:numPr>
                <w:ilvl w:val="1"/>
                <w:numId w:val="26"/>
              </w:numPr>
              <w:spacing w:before="40" w:after="40"/>
              <w:ind w:left="355" w:hanging="205"/>
              <w:rPr>
                <w:sz w:val="20"/>
              </w:rPr>
            </w:pPr>
            <w:r w:rsidRPr="008207D1">
              <w:rPr>
                <w:sz w:val="20"/>
              </w:rPr>
              <w:t>Reports of workshops held</w:t>
            </w:r>
          </w:p>
          <w:p w14:paraId="767216FE" w14:textId="38E09499" w:rsidR="00E46006" w:rsidRPr="008207D1" w:rsidRDefault="00E46006" w:rsidP="006A5009">
            <w:pPr>
              <w:pStyle w:val="TAL"/>
              <w:numPr>
                <w:ilvl w:val="1"/>
                <w:numId w:val="26"/>
              </w:numPr>
              <w:spacing w:before="40" w:after="40"/>
              <w:ind w:left="355" w:hanging="205"/>
              <w:rPr>
                <w:sz w:val="20"/>
              </w:rPr>
            </w:pPr>
            <w:r w:rsidRPr="008207D1">
              <w:rPr>
                <w:sz w:val="20"/>
              </w:rPr>
              <w:t xml:space="preserve">Report of specific meetings held with EU groups, projects, recognised standards organizations or other organisations representing communities of interest </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904E3" w14:textId="77777777" w:rsidR="00E46006" w:rsidRPr="008207D1" w:rsidRDefault="00E46006" w:rsidP="00451FEB">
            <w:pPr>
              <w:pStyle w:val="TAL"/>
              <w:spacing w:before="40" w:after="40"/>
              <w:ind w:left="99"/>
              <w:rPr>
                <w:sz w:val="20"/>
              </w:rPr>
            </w:pPr>
            <w:r w:rsidRPr="008207D1">
              <w:rPr>
                <w:sz w:val="20"/>
              </w:rPr>
              <w:t>No formal publication</w:t>
            </w:r>
          </w:p>
        </w:tc>
      </w:tr>
    </w:tbl>
    <w:p w14:paraId="6EB781C9" w14:textId="77777777" w:rsidR="00DF4ACD" w:rsidRDefault="00DF4ACD" w:rsidP="00DF4ACD">
      <w:pPr>
        <w:pStyle w:val="Heading2"/>
        <w:keepLines w:val="0"/>
        <w:numPr>
          <w:ilvl w:val="0"/>
          <w:numId w:val="0"/>
        </w:numPr>
        <w:tabs>
          <w:tab w:val="clear" w:pos="1418"/>
        </w:tabs>
        <w:overflowPunct/>
        <w:autoSpaceDE/>
        <w:autoSpaceDN/>
        <w:adjustRightInd/>
        <w:jc w:val="both"/>
        <w:textAlignment w:val="auto"/>
      </w:pPr>
      <w:bookmarkStart w:id="5" w:name="_Ref288151960"/>
    </w:p>
    <w:p w14:paraId="032463A6" w14:textId="77777777" w:rsidR="00DF4ACD" w:rsidRPr="00FA2920" w:rsidRDefault="00DF4ACD" w:rsidP="00DF4ACD">
      <w:pPr>
        <w:pStyle w:val="Heading2"/>
        <w:keepLines w:val="0"/>
        <w:numPr>
          <w:ilvl w:val="1"/>
          <w:numId w:val="19"/>
        </w:numPr>
        <w:tabs>
          <w:tab w:val="clear" w:pos="1418"/>
        </w:tabs>
        <w:overflowPunct/>
        <w:autoSpaceDE/>
        <w:autoSpaceDN/>
        <w:adjustRightInd/>
        <w:jc w:val="both"/>
        <w:textAlignment w:val="auto"/>
      </w:pPr>
      <w:r w:rsidRPr="00FA2920">
        <w:t xml:space="preserve">Work plan </w:t>
      </w:r>
    </w:p>
    <w:p w14:paraId="260F8071" w14:textId="1D3A48D8" w:rsidR="00DF4ACD" w:rsidRDefault="00DF4ACD" w:rsidP="00DF4ACD">
      <w:pPr>
        <w:keepNext/>
        <w:keepLines/>
        <w:jc w:val="left"/>
      </w:pPr>
      <w:r>
        <w:t xml:space="preserve">Table </w:t>
      </w:r>
      <w:r>
        <w:fldChar w:fldCharType="begin"/>
      </w:r>
      <w:r>
        <w:instrText xml:space="preserve"> REF TAB_TASKS \h </w:instrText>
      </w:r>
      <w:r>
        <w:fldChar w:fldCharType="separate"/>
      </w:r>
      <w:r w:rsidR="006A5009">
        <w:rPr>
          <w:b/>
          <w:noProof/>
          <w:u w:val="single"/>
        </w:rPr>
        <w:t>3</w:t>
      </w:r>
      <w:r>
        <w:fldChar w:fldCharType="end"/>
      </w:r>
      <w:r>
        <w:t xml:space="preserve"> shows the detailed work plan for this project. It is formed by tasks.</w:t>
      </w:r>
    </w:p>
    <w:p w14:paraId="4479FD72" w14:textId="3B4A3B56" w:rsidR="00E46006" w:rsidRDefault="00DF4ACD" w:rsidP="00DF4ACD">
      <w:pPr>
        <w:keepNext/>
        <w:keepLines/>
        <w:jc w:val="left"/>
      </w:pPr>
      <w:r>
        <w:t xml:space="preserve">Note: T0 is used to denote the start of the project in the milestones below. </w:t>
      </w:r>
      <w:bookmarkEnd w:id="5"/>
    </w:p>
    <w:p w14:paraId="29D337D9" w14:textId="77777777" w:rsidR="006A5009" w:rsidRDefault="006A5009" w:rsidP="00DF4ACD">
      <w:pPr>
        <w:keepNext/>
        <w:keepLines/>
        <w:jc w:val="left"/>
      </w:pPr>
    </w:p>
    <w:p w14:paraId="7180CA69" w14:textId="46AB84D0" w:rsidR="00DF4ACD" w:rsidRPr="00DF4ACD" w:rsidRDefault="00DF4ACD" w:rsidP="00DF4ACD">
      <w:pPr>
        <w:keepNext/>
        <w:keepLines/>
        <w:jc w:val="left"/>
        <w:rPr>
          <w:b/>
          <w:u w:val="single"/>
        </w:rPr>
      </w:pPr>
      <w:r w:rsidRPr="00DF4ACD">
        <w:rPr>
          <w:b/>
          <w:u w:val="single"/>
        </w:rPr>
        <w:t xml:space="preserve">Table </w:t>
      </w:r>
      <w:bookmarkStart w:id="6" w:name="TAB_TASKS"/>
      <w:r w:rsidRPr="00DF4ACD">
        <w:rPr>
          <w:b/>
          <w:u w:val="single"/>
        </w:rPr>
        <w:fldChar w:fldCharType="begin"/>
      </w:r>
      <w:r w:rsidRPr="00DF4ACD">
        <w:rPr>
          <w:b/>
          <w:u w:val="single"/>
        </w:rPr>
        <w:instrText xml:space="preserve"> SEQ TAB \* MERGEFORMAT </w:instrText>
      </w:r>
      <w:r w:rsidRPr="00DF4ACD">
        <w:rPr>
          <w:b/>
          <w:u w:val="single"/>
        </w:rPr>
        <w:fldChar w:fldCharType="separate"/>
      </w:r>
      <w:r w:rsidR="006A5009">
        <w:rPr>
          <w:b/>
          <w:noProof/>
          <w:u w:val="single"/>
        </w:rPr>
        <w:t>3</w:t>
      </w:r>
      <w:r w:rsidRPr="00DF4ACD">
        <w:rPr>
          <w:b/>
          <w:u w:val="single"/>
        </w:rPr>
        <w:fldChar w:fldCharType="end"/>
      </w:r>
      <w:bookmarkEnd w:id="6"/>
      <w:r w:rsidRPr="00DF4ACD">
        <w:rPr>
          <w:b/>
          <w:u w:val="single"/>
        </w:rPr>
        <w:t>: Tasks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6534"/>
        <w:gridCol w:w="1576"/>
      </w:tblGrid>
      <w:tr w:rsidR="00E46006" w14:paraId="6E424A9A" w14:textId="77777777" w:rsidTr="007E6A3F">
        <w:trPr>
          <w:tblHeader/>
        </w:trPr>
        <w:tc>
          <w:tcPr>
            <w:tcW w:w="952" w:type="dxa"/>
            <w:tcBorders>
              <w:bottom w:val="single" w:sz="4" w:space="0" w:color="000000"/>
            </w:tcBorders>
            <w:shd w:val="clear" w:color="auto" w:fill="BDD6EE" w:themeFill="accent1" w:themeFillTint="66"/>
          </w:tcPr>
          <w:p w14:paraId="16FCCB98" w14:textId="77777777" w:rsidR="00E46006" w:rsidRDefault="00E46006" w:rsidP="00451FEB">
            <w:pPr>
              <w:pStyle w:val="TH"/>
            </w:pPr>
            <w:r>
              <w:lastRenderedPageBreak/>
              <w:t>Task</w:t>
            </w:r>
          </w:p>
        </w:tc>
        <w:tc>
          <w:tcPr>
            <w:tcW w:w="6534" w:type="dxa"/>
            <w:tcBorders>
              <w:bottom w:val="single" w:sz="4" w:space="0" w:color="000000"/>
            </w:tcBorders>
            <w:shd w:val="clear" w:color="auto" w:fill="BDD6EE" w:themeFill="accent1" w:themeFillTint="66"/>
          </w:tcPr>
          <w:p w14:paraId="7B1B3D23" w14:textId="77777777" w:rsidR="00E46006" w:rsidRDefault="00E46006" w:rsidP="00451FEB">
            <w:pPr>
              <w:pStyle w:val="TH"/>
            </w:pPr>
            <w:r>
              <w:t>Description and methodology</w:t>
            </w:r>
          </w:p>
        </w:tc>
        <w:tc>
          <w:tcPr>
            <w:tcW w:w="1576" w:type="dxa"/>
            <w:tcBorders>
              <w:bottom w:val="single" w:sz="4" w:space="0" w:color="000000"/>
            </w:tcBorders>
            <w:shd w:val="clear" w:color="auto" w:fill="BDD6EE" w:themeFill="accent1" w:themeFillTint="66"/>
          </w:tcPr>
          <w:p w14:paraId="5F056D63" w14:textId="77777777" w:rsidR="00E46006" w:rsidRDefault="00E46006" w:rsidP="00451FEB">
            <w:pPr>
              <w:pStyle w:val="TH"/>
            </w:pPr>
            <w:r>
              <w:t>Deliverables</w:t>
            </w:r>
          </w:p>
        </w:tc>
      </w:tr>
      <w:tr w:rsidR="00E46006" w:rsidRPr="0096772A" w14:paraId="1C1DB3E4" w14:textId="77777777" w:rsidTr="00451FEB">
        <w:tc>
          <w:tcPr>
            <w:tcW w:w="952" w:type="dxa"/>
            <w:shd w:val="clear" w:color="auto" w:fill="00FFFF"/>
          </w:tcPr>
          <w:p w14:paraId="0034D568" w14:textId="77777777" w:rsidR="00E46006" w:rsidRDefault="00E46006" w:rsidP="00451FEB">
            <w:pPr>
              <w:pStyle w:val="TH"/>
            </w:pPr>
          </w:p>
        </w:tc>
        <w:tc>
          <w:tcPr>
            <w:tcW w:w="6534" w:type="dxa"/>
            <w:shd w:val="clear" w:color="auto" w:fill="00FFFF"/>
          </w:tcPr>
          <w:p w14:paraId="05EBBA25" w14:textId="77777777" w:rsidR="00E46006" w:rsidRDefault="00E46006" w:rsidP="00451FEB">
            <w:pPr>
              <w:pStyle w:val="TH"/>
            </w:pPr>
            <w:r>
              <w:t>STF Organization</w:t>
            </w:r>
          </w:p>
        </w:tc>
        <w:tc>
          <w:tcPr>
            <w:tcW w:w="1576" w:type="dxa"/>
            <w:shd w:val="clear" w:color="auto" w:fill="00FFFF"/>
          </w:tcPr>
          <w:p w14:paraId="3F50DC3C" w14:textId="77777777" w:rsidR="00E46006" w:rsidRDefault="00E46006" w:rsidP="00451FEB">
            <w:pPr>
              <w:pStyle w:val="TH"/>
            </w:pPr>
          </w:p>
        </w:tc>
      </w:tr>
      <w:tr w:rsidR="00E46006" w:rsidRPr="0096772A" w14:paraId="1E0D074F" w14:textId="77777777" w:rsidTr="00451FEB">
        <w:tc>
          <w:tcPr>
            <w:tcW w:w="952" w:type="dxa"/>
            <w:shd w:val="clear" w:color="auto" w:fill="auto"/>
          </w:tcPr>
          <w:p w14:paraId="3A8AE71A" w14:textId="0D9DAC2F" w:rsidR="00E46006" w:rsidRDefault="009A1108" w:rsidP="00451FEB">
            <w:pPr>
              <w:pStyle w:val="TAC"/>
            </w:pPr>
            <w:fldSimple w:instr=" SEQ TTASK \* MERGEFORMAT ">
              <w:r w:rsidR="006A5009">
                <w:rPr>
                  <w:noProof/>
                </w:rPr>
                <w:t>1</w:t>
              </w:r>
            </w:fldSimple>
            <w:r w:rsidR="00E46006">
              <w:t>.1</w:t>
            </w:r>
          </w:p>
        </w:tc>
        <w:tc>
          <w:tcPr>
            <w:tcW w:w="6534" w:type="dxa"/>
            <w:shd w:val="clear" w:color="auto" w:fill="auto"/>
          </w:tcPr>
          <w:p w14:paraId="7DD0AFE7" w14:textId="77777777" w:rsidR="00E46006" w:rsidRPr="008207D1" w:rsidRDefault="00E46006" w:rsidP="00451FEB">
            <w:pPr>
              <w:pStyle w:val="TH"/>
              <w:jc w:val="left"/>
            </w:pPr>
            <w:r w:rsidRPr="008207D1">
              <w:t>STF Setup</w:t>
            </w:r>
          </w:p>
          <w:p w14:paraId="49F91A7E" w14:textId="77777777" w:rsidR="00E46006" w:rsidRPr="008207D1" w:rsidRDefault="00E46006" w:rsidP="00451FEB">
            <w:pPr>
              <w:pStyle w:val="B2"/>
              <w:numPr>
                <w:ilvl w:val="0"/>
                <w:numId w:val="0"/>
              </w:numPr>
            </w:pPr>
            <w:r w:rsidRPr="008207D1">
              <w:t>ETSI and the TC ESI chair will interview the candidate providers and select those to best meet the work plan.</w:t>
            </w:r>
          </w:p>
          <w:p w14:paraId="747A2B10" w14:textId="77777777" w:rsidR="00E46006" w:rsidRPr="008207D1" w:rsidRDefault="00E46006" w:rsidP="00451FEB">
            <w:pPr>
              <w:pStyle w:val="B2"/>
              <w:numPr>
                <w:ilvl w:val="0"/>
                <w:numId w:val="0"/>
              </w:numPr>
            </w:pPr>
          </w:p>
          <w:p w14:paraId="0DD2F61C" w14:textId="77777777" w:rsidR="00E46006" w:rsidRPr="008207D1" w:rsidRDefault="00E46006" w:rsidP="00451FEB">
            <w:pPr>
              <w:pStyle w:val="B2"/>
              <w:numPr>
                <w:ilvl w:val="0"/>
                <w:numId w:val="0"/>
              </w:numPr>
            </w:pPr>
            <w:r w:rsidRPr="008207D1">
              <w:t>ETSI will make service contract arrangements for the selected STF providers.</w:t>
            </w:r>
          </w:p>
          <w:p w14:paraId="713835DC" w14:textId="77777777" w:rsidR="00E46006" w:rsidRPr="008207D1" w:rsidRDefault="00E46006" w:rsidP="00451FEB">
            <w:pPr>
              <w:pStyle w:val="B2"/>
              <w:numPr>
                <w:ilvl w:val="0"/>
                <w:numId w:val="0"/>
              </w:numPr>
            </w:pPr>
          </w:p>
          <w:p w14:paraId="147720C7" w14:textId="77777777" w:rsidR="00E46006" w:rsidRPr="008207D1" w:rsidRDefault="00E46006" w:rsidP="00451FEB">
            <w:pPr>
              <w:pStyle w:val="TAC"/>
              <w:jc w:val="left"/>
              <w:rPr>
                <w:sz w:val="20"/>
              </w:rPr>
            </w:pPr>
            <w:r w:rsidRPr="008207D1">
              <w:rPr>
                <w:sz w:val="20"/>
              </w:rPr>
              <w:tab/>
            </w:r>
            <w:r w:rsidRPr="008207D1">
              <w:rPr>
                <w:b/>
                <w:sz w:val="20"/>
              </w:rPr>
              <w:t>Start</w:t>
            </w:r>
            <w:r w:rsidRPr="008207D1">
              <w:rPr>
                <w:sz w:val="20"/>
              </w:rPr>
              <w:t>: T0</w:t>
            </w:r>
          </w:p>
          <w:p w14:paraId="2C1E5847" w14:textId="4E2C6B53" w:rsidR="00E46006" w:rsidRPr="008207D1" w:rsidRDefault="00E46006" w:rsidP="00451FEB">
            <w:pPr>
              <w:pStyle w:val="TAC"/>
              <w:jc w:val="left"/>
              <w:rPr>
                <w:sz w:val="20"/>
              </w:rPr>
            </w:pPr>
            <w:r w:rsidRPr="008207D1">
              <w:rPr>
                <w:sz w:val="20"/>
              </w:rPr>
              <w:tab/>
            </w:r>
            <w:r w:rsidRPr="008207D1">
              <w:rPr>
                <w:b/>
                <w:sz w:val="20"/>
              </w:rPr>
              <w:t>End</w:t>
            </w:r>
            <w:r w:rsidRPr="008207D1">
              <w:rPr>
                <w:sz w:val="20"/>
              </w:rPr>
              <w:t xml:space="preserve"> T0+3</w:t>
            </w:r>
          </w:p>
        </w:tc>
        <w:tc>
          <w:tcPr>
            <w:tcW w:w="1576" w:type="dxa"/>
            <w:shd w:val="clear" w:color="auto" w:fill="auto"/>
          </w:tcPr>
          <w:p w14:paraId="232D5B1C" w14:textId="77777777" w:rsidR="00E46006" w:rsidRDefault="00E46006" w:rsidP="00451FEB">
            <w:pPr>
              <w:pStyle w:val="TAC"/>
            </w:pPr>
          </w:p>
        </w:tc>
      </w:tr>
      <w:tr w:rsidR="00E46006" w:rsidRPr="0096772A" w14:paraId="64B41763" w14:textId="77777777" w:rsidTr="00451FEB">
        <w:tc>
          <w:tcPr>
            <w:tcW w:w="952" w:type="dxa"/>
            <w:tcBorders>
              <w:bottom w:val="single" w:sz="4" w:space="0" w:color="000000"/>
            </w:tcBorders>
            <w:shd w:val="clear" w:color="auto" w:fill="auto"/>
          </w:tcPr>
          <w:p w14:paraId="74DE15C6" w14:textId="77777777" w:rsidR="00E46006" w:rsidRDefault="00E46006" w:rsidP="00451FEB">
            <w:pPr>
              <w:pStyle w:val="TAC"/>
            </w:pPr>
            <w:r>
              <w:t>1.2</w:t>
            </w:r>
          </w:p>
        </w:tc>
        <w:tc>
          <w:tcPr>
            <w:tcW w:w="6534" w:type="dxa"/>
            <w:tcBorders>
              <w:bottom w:val="single" w:sz="4" w:space="0" w:color="000000"/>
            </w:tcBorders>
            <w:shd w:val="clear" w:color="auto" w:fill="auto"/>
          </w:tcPr>
          <w:p w14:paraId="06F62FFD" w14:textId="77777777" w:rsidR="00E46006" w:rsidRPr="008207D1" w:rsidRDefault="00E46006" w:rsidP="00451FEB">
            <w:pPr>
              <w:pStyle w:val="TH"/>
              <w:jc w:val="left"/>
            </w:pPr>
            <w:r w:rsidRPr="008207D1">
              <w:t>STF Lead</w:t>
            </w:r>
          </w:p>
          <w:p w14:paraId="498E0ED8" w14:textId="77777777" w:rsidR="00E46006" w:rsidRPr="008207D1" w:rsidRDefault="00E46006" w:rsidP="00451FEB">
            <w:pPr>
              <w:pStyle w:val="TAL"/>
              <w:rPr>
                <w:rFonts w:cs="Arial"/>
                <w:sz w:val="20"/>
              </w:rPr>
            </w:pPr>
            <w:r w:rsidRPr="008207D1">
              <w:rPr>
                <w:rFonts w:cs="Arial"/>
                <w:sz w:val="20"/>
              </w:rPr>
              <w:t>The STF lead will:</w:t>
            </w:r>
          </w:p>
          <w:p w14:paraId="69DC422B" w14:textId="77777777" w:rsidR="00E46006" w:rsidRPr="008207D1" w:rsidRDefault="00E46006" w:rsidP="00E46006">
            <w:pPr>
              <w:pStyle w:val="B2"/>
              <w:numPr>
                <w:ilvl w:val="0"/>
                <w:numId w:val="2"/>
              </w:numPr>
            </w:pPr>
            <w:r w:rsidRPr="008207D1">
              <w:t>Plan the work of the STF members, ensuring that the timescales of the STF deliverables are met</w:t>
            </w:r>
          </w:p>
          <w:p w14:paraId="41E35352" w14:textId="77777777" w:rsidR="00E46006" w:rsidRPr="008207D1" w:rsidRDefault="00E46006" w:rsidP="00E46006">
            <w:pPr>
              <w:pStyle w:val="B2"/>
              <w:numPr>
                <w:ilvl w:val="0"/>
                <w:numId w:val="2"/>
              </w:numPr>
            </w:pPr>
            <w:r w:rsidRPr="008207D1">
              <w:t>Organise STF meetings to discuss the drafts, recording any major issues and resolutions of the STF, identifying and progressing the actions of STF members</w:t>
            </w:r>
          </w:p>
          <w:p w14:paraId="4900599D" w14:textId="77777777" w:rsidR="00E46006" w:rsidRPr="008207D1" w:rsidRDefault="00E46006" w:rsidP="00E46006">
            <w:pPr>
              <w:pStyle w:val="B2"/>
              <w:numPr>
                <w:ilvl w:val="0"/>
                <w:numId w:val="2"/>
              </w:numPr>
            </w:pPr>
            <w:r w:rsidRPr="008207D1">
              <w:t>Report to TC ESI and the Secretariat on the work of the STF,</w:t>
            </w:r>
          </w:p>
          <w:p w14:paraId="2D7ABA4C" w14:textId="77777777" w:rsidR="00E46006" w:rsidRPr="008207D1" w:rsidRDefault="00E46006" w:rsidP="00E46006">
            <w:pPr>
              <w:pStyle w:val="B2"/>
              <w:numPr>
                <w:ilvl w:val="0"/>
                <w:numId w:val="2"/>
              </w:numPr>
            </w:pPr>
            <w:r w:rsidRPr="008207D1">
              <w:t>Represent, or arrange other STF members to represent, the STF at other external meetings.</w:t>
            </w:r>
          </w:p>
          <w:p w14:paraId="1FCE214D" w14:textId="77777777" w:rsidR="00E46006" w:rsidRPr="008207D1" w:rsidRDefault="00E46006" w:rsidP="00451FEB">
            <w:pPr>
              <w:pStyle w:val="B2"/>
              <w:numPr>
                <w:ilvl w:val="0"/>
                <w:numId w:val="0"/>
              </w:numPr>
              <w:rPr>
                <w:b/>
              </w:rPr>
            </w:pPr>
            <w:r w:rsidRPr="008207D1">
              <w:rPr>
                <w:b/>
              </w:rPr>
              <w:t>Expertise required:</w:t>
            </w:r>
          </w:p>
          <w:p w14:paraId="41E044F0" w14:textId="77777777" w:rsidR="00E46006" w:rsidRPr="008207D1" w:rsidRDefault="00E46006" w:rsidP="00E46006">
            <w:pPr>
              <w:pStyle w:val="B2"/>
              <w:numPr>
                <w:ilvl w:val="0"/>
                <w:numId w:val="27"/>
              </w:numPr>
            </w:pPr>
            <w:r w:rsidRPr="008207D1">
              <w:t xml:space="preserve">proven record of standards project delivery, strong knowledge of project management, report writing, consensus building, presentation skills </w:t>
            </w:r>
          </w:p>
          <w:p w14:paraId="53C18D58" w14:textId="77777777" w:rsidR="00E46006" w:rsidRPr="008207D1" w:rsidRDefault="00E46006" w:rsidP="00E46006">
            <w:pPr>
              <w:pStyle w:val="B2"/>
              <w:numPr>
                <w:ilvl w:val="0"/>
                <w:numId w:val="27"/>
              </w:numPr>
            </w:pPr>
            <w:r w:rsidRPr="008207D1">
              <w:t>Ability to lead and manage a team of experts</w:t>
            </w:r>
          </w:p>
          <w:p w14:paraId="435840DC" w14:textId="77777777" w:rsidR="00E46006" w:rsidRPr="008207D1" w:rsidRDefault="00E46006" w:rsidP="00451FEB">
            <w:pPr>
              <w:pStyle w:val="B2"/>
              <w:numPr>
                <w:ilvl w:val="0"/>
                <w:numId w:val="0"/>
              </w:numPr>
              <w:ind w:left="1440" w:hanging="360"/>
              <w:rPr>
                <w:b/>
              </w:rPr>
            </w:pPr>
          </w:p>
          <w:p w14:paraId="2BBD143C" w14:textId="3AEA67FD" w:rsidR="00E46006" w:rsidRPr="008207D1" w:rsidRDefault="00E46006" w:rsidP="00451FEB">
            <w:pPr>
              <w:pStyle w:val="TAC"/>
              <w:jc w:val="left"/>
              <w:rPr>
                <w:b/>
                <w:sz w:val="20"/>
              </w:rPr>
            </w:pPr>
            <w:r w:rsidRPr="008207D1">
              <w:rPr>
                <w:b/>
                <w:sz w:val="20"/>
              </w:rPr>
              <w:t xml:space="preserve">Effort Required: </w:t>
            </w:r>
            <w:r w:rsidR="00052A10">
              <w:rPr>
                <w:b/>
                <w:sz w:val="20"/>
              </w:rPr>
              <w:t>13 650 EUR</w:t>
            </w:r>
          </w:p>
          <w:p w14:paraId="337346EB" w14:textId="77777777" w:rsidR="006A5009" w:rsidRPr="008207D1" w:rsidRDefault="006A5009" w:rsidP="00451FEB">
            <w:pPr>
              <w:pStyle w:val="TAC"/>
              <w:jc w:val="left"/>
              <w:rPr>
                <w:b/>
                <w:sz w:val="20"/>
              </w:rPr>
            </w:pPr>
          </w:p>
          <w:p w14:paraId="09F51C60" w14:textId="20F35E3E" w:rsidR="00E46006" w:rsidRPr="008207D1" w:rsidRDefault="00E46006" w:rsidP="00451FEB">
            <w:pPr>
              <w:pStyle w:val="TAC"/>
              <w:jc w:val="left"/>
              <w:rPr>
                <w:sz w:val="20"/>
              </w:rPr>
            </w:pPr>
            <w:r w:rsidRPr="008207D1">
              <w:rPr>
                <w:b/>
                <w:sz w:val="20"/>
              </w:rPr>
              <w:t>Milestones:</w:t>
            </w:r>
          </w:p>
          <w:p w14:paraId="1B4E431A" w14:textId="77777777" w:rsidR="00E46006" w:rsidRPr="008207D1" w:rsidRDefault="00E46006" w:rsidP="00451FEB">
            <w:pPr>
              <w:pStyle w:val="TAC"/>
              <w:jc w:val="left"/>
              <w:rPr>
                <w:sz w:val="20"/>
              </w:rPr>
            </w:pPr>
            <w:r w:rsidRPr="008207D1">
              <w:rPr>
                <w:sz w:val="20"/>
              </w:rPr>
              <w:tab/>
            </w:r>
            <w:r w:rsidRPr="008207D1">
              <w:rPr>
                <w:b/>
                <w:sz w:val="20"/>
              </w:rPr>
              <w:t>Start</w:t>
            </w:r>
            <w:r w:rsidRPr="008207D1">
              <w:rPr>
                <w:sz w:val="20"/>
              </w:rPr>
              <w:t xml:space="preserve">: T0+3 </w:t>
            </w:r>
          </w:p>
          <w:p w14:paraId="24710713" w14:textId="77777777" w:rsidR="00E46006" w:rsidRPr="008207D1" w:rsidRDefault="00E46006" w:rsidP="00451FEB">
            <w:pPr>
              <w:pStyle w:val="TAC"/>
              <w:jc w:val="left"/>
              <w:rPr>
                <w:b/>
                <w:sz w:val="20"/>
              </w:rPr>
            </w:pPr>
            <w:r w:rsidRPr="008207D1">
              <w:rPr>
                <w:sz w:val="20"/>
              </w:rPr>
              <w:tab/>
            </w:r>
            <w:r w:rsidRPr="008207D1">
              <w:rPr>
                <w:b/>
                <w:sz w:val="20"/>
              </w:rPr>
              <w:t xml:space="preserve">M1.1 </w:t>
            </w:r>
            <w:r w:rsidRPr="008207D1">
              <w:rPr>
                <w:sz w:val="20"/>
              </w:rPr>
              <w:t>Interim report T0+9</w:t>
            </w:r>
          </w:p>
          <w:p w14:paraId="153B8D6C" w14:textId="77777777" w:rsidR="00E46006" w:rsidRPr="008207D1" w:rsidRDefault="00E46006" w:rsidP="00451FEB">
            <w:pPr>
              <w:pStyle w:val="TAC"/>
              <w:jc w:val="left"/>
              <w:rPr>
                <w:sz w:val="20"/>
              </w:rPr>
            </w:pPr>
            <w:r w:rsidRPr="008207D1">
              <w:rPr>
                <w:b/>
                <w:sz w:val="20"/>
              </w:rPr>
              <w:t xml:space="preserve">          M1.2 </w:t>
            </w:r>
            <w:r w:rsidRPr="008207D1">
              <w:rPr>
                <w:sz w:val="20"/>
              </w:rPr>
              <w:t>Final report: T0+15</w:t>
            </w:r>
          </w:p>
          <w:p w14:paraId="0BB3F964" w14:textId="5DFEDB9A" w:rsidR="006A5009" w:rsidRPr="008207D1" w:rsidRDefault="006A5009" w:rsidP="00451FEB">
            <w:pPr>
              <w:pStyle w:val="TAC"/>
              <w:jc w:val="left"/>
              <w:rPr>
                <w:sz w:val="20"/>
              </w:rPr>
            </w:pPr>
          </w:p>
        </w:tc>
        <w:tc>
          <w:tcPr>
            <w:tcW w:w="1576" w:type="dxa"/>
            <w:tcBorders>
              <w:bottom w:val="single" w:sz="4" w:space="0" w:color="000000"/>
            </w:tcBorders>
            <w:shd w:val="clear" w:color="auto" w:fill="auto"/>
          </w:tcPr>
          <w:p w14:paraId="127319DE" w14:textId="77777777" w:rsidR="00E46006" w:rsidRDefault="00E46006" w:rsidP="00451FEB">
            <w:pPr>
              <w:pStyle w:val="TAC"/>
            </w:pPr>
          </w:p>
        </w:tc>
      </w:tr>
      <w:tr w:rsidR="00E46006" w14:paraId="08B3E71F" w14:textId="77777777" w:rsidTr="00451FEB">
        <w:tc>
          <w:tcPr>
            <w:tcW w:w="952" w:type="dxa"/>
            <w:shd w:val="clear" w:color="auto" w:fill="00FFFF"/>
          </w:tcPr>
          <w:p w14:paraId="6BF22494" w14:textId="77777777" w:rsidR="00E46006" w:rsidRDefault="00E46006" w:rsidP="00451FEB">
            <w:pPr>
              <w:pStyle w:val="TH"/>
            </w:pPr>
          </w:p>
        </w:tc>
        <w:tc>
          <w:tcPr>
            <w:tcW w:w="6534" w:type="dxa"/>
            <w:shd w:val="clear" w:color="auto" w:fill="00FFFF"/>
          </w:tcPr>
          <w:p w14:paraId="43722605" w14:textId="77777777" w:rsidR="00E46006" w:rsidRPr="006A5009" w:rsidRDefault="00E46006" w:rsidP="00451FEB">
            <w:pPr>
              <w:pStyle w:val="TH"/>
              <w:rPr>
                <w:sz w:val="18"/>
                <w:szCs w:val="18"/>
              </w:rPr>
            </w:pPr>
            <w:r w:rsidRPr="006A5009">
              <w:rPr>
                <w:sz w:val="18"/>
                <w:szCs w:val="18"/>
              </w:rPr>
              <w:t>Production of Technical Specifications for XML format for signature policies</w:t>
            </w:r>
          </w:p>
        </w:tc>
        <w:tc>
          <w:tcPr>
            <w:tcW w:w="1576" w:type="dxa"/>
            <w:shd w:val="clear" w:color="auto" w:fill="00FFFF"/>
          </w:tcPr>
          <w:p w14:paraId="0D296928" w14:textId="77777777" w:rsidR="00E46006" w:rsidRDefault="00E46006" w:rsidP="00451FEB">
            <w:pPr>
              <w:pStyle w:val="TH"/>
            </w:pPr>
          </w:p>
        </w:tc>
      </w:tr>
      <w:tr w:rsidR="00E46006" w14:paraId="70FDC1BE" w14:textId="77777777" w:rsidTr="00451FEB">
        <w:tc>
          <w:tcPr>
            <w:tcW w:w="952" w:type="dxa"/>
            <w:shd w:val="clear" w:color="auto" w:fill="auto"/>
          </w:tcPr>
          <w:p w14:paraId="78B63D97" w14:textId="4F0D3095" w:rsidR="00E46006" w:rsidRPr="00053FFD" w:rsidRDefault="009A1108" w:rsidP="00451FEB">
            <w:pPr>
              <w:pStyle w:val="TAC"/>
              <w:rPr>
                <w:lang w:val="en-US"/>
              </w:rPr>
            </w:pPr>
            <w:fldSimple w:instr=" SEQ TTASK \* MERGEFORMAT ">
              <w:r w:rsidR="006A5009">
                <w:rPr>
                  <w:noProof/>
                </w:rPr>
                <w:t>2</w:t>
              </w:r>
            </w:fldSimple>
          </w:p>
        </w:tc>
        <w:tc>
          <w:tcPr>
            <w:tcW w:w="6534" w:type="dxa"/>
            <w:shd w:val="clear" w:color="auto" w:fill="auto"/>
          </w:tcPr>
          <w:p w14:paraId="0265C5F1" w14:textId="77777777" w:rsidR="00E46006" w:rsidRPr="008207D1" w:rsidRDefault="00E46006" w:rsidP="00451FEB">
            <w:pPr>
              <w:pStyle w:val="TAL"/>
              <w:rPr>
                <w:rFonts w:cs="Arial"/>
                <w:sz w:val="20"/>
                <w:lang w:val="en-US"/>
              </w:rPr>
            </w:pPr>
            <w:r w:rsidRPr="008207D1">
              <w:rPr>
                <w:b/>
                <w:sz w:val="20"/>
              </w:rPr>
              <w:t>Description</w:t>
            </w:r>
            <w:r w:rsidRPr="008207D1">
              <w:rPr>
                <w:rFonts w:cs="Arial"/>
                <w:b/>
                <w:sz w:val="20"/>
                <w:lang w:val="en-US"/>
              </w:rPr>
              <w:t>:</w:t>
            </w:r>
            <w:r w:rsidRPr="008207D1">
              <w:rPr>
                <w:rFonts w:cs="Arial"/>
                <w:sz w:val="20"/>
                <w:lang w:val="en-US"/>
              </w:rPr>
              <w:t xml:space="preserve"> The goal of this task is to produce the deliverable TS 119 172-2: </w:t>
            </w:r>
            <w:r w:rsidRPr="008207D1">
              <w:rPr>
                <w:sz w:val="20"/>
              </w:rPr>
              <w:t>“Electronic Signatures and Infrastructures (ESI); Signature Policies; Part 2; XML format for signature policies”</w:t>
            </w:r>
            <w:r w:rsidRPr="008207D1">
              <w:rPr>
                <w:rFonts w:cs="Arial"/>
                <w:sz w:val="20"/>
                <w:lang w:val="en-US"/>
              </w:rPr>
              <w:t>. This deliverable will fully specify a XML format for describing a signature policy based on the signature policy building blocks defined in ETSI TS 119 172-1: “</w:t>
            </w:r>
            <w:r w:rsidRPr="008207D1">
              <w:rPr>
                <w:sz w:val="20"/>
              </w:rPr>
              <w:t>Electronic Signatures and Infrastructures (ESI); Signature Policies; Part 1: Building blocks and table of contents for human readable signature policy documents”.</w:t>
            </w:r>
          </w:p>
        </w:tc>
        <w:tc>
          <w:tcPr>
            <w:tcW w:w="1576" w:type="dxa"/>
            <w:shd w:val="clear" w:color="auto" w:fill="auto"/>
          </w:tcPr>
          <w:p w14:paraId="15675A3D" w14:textId="77777777" w:rsidR="00E46006" w:rsidRPr="006A5009" w:rsidRDefault="00E46006" w:rsidP="00451FEB">
            <w:pPr>
              <w:pStyle w:val="TAC"/>
              <w:rPr>
                <w:szCs w:val="18"/>
              </w:rPr>
            </w:pPr>
            <w:r w:rsidRPr="006A5009">
              <w:rPr>
                <w:szCs w:val="18"/>
              </w:rPr>
              <w:t>TS 119 172-2</w:t>
            </w:r>
          </w:p>
          <w:p w14:paraId="38FD85AB" w14:textId="77777777" w:rsidR="00E46006" w:rsidRDefault="00E46006" w:rsidP="00451FEB">
            <w:pPr>
              <w:pStyle w:val="TAC"/>
            </w:pPr>
            <w:r w:rsidRPr="006A5009">
              <w:rPr>
                <w:rFonts w:cs="Arial"/>
                <w:color w:val="000000"/>
                <w:szCs w:val="18"/>
              </w:rPr>
              <w:t>DTS/ESI-0019172-2</w:t>
            </w:r>
          </w:p>
        </w:tc>
      </w:tr>
      <w:tr w:rsidR="00E46006" w14:paraId="05960C22" w14:textId="77777777" w:rsidTr="00451FEB">
        <w:tc>
          <w:tcPr>
            <w:tcW w:w="952" w:type="dxa"/>
            <w:tcBorders>
              <w:bottom w:val="single" w:sz="4" w:space="0" w:color="000000"/>
            </w:tcBorders>
            <w:shd w:val="clear" w:color="auto" w:fill="auto"/>
          </w:tcPr>
          <w:p w14:paraId="51FE80F2" w14:textId="77777777" w:rsidR="00E46006" w:rsidRDefault="00E46006" w:rsidP="00451FEB">
            <w:pPr>
              <w:pStyle w:val="TAC"/>
            </w:pPr>
          </w:p>
        </w:tc>
        <w:tc>
          <w:tcPr>
            <w:tcW w:w="6534" w:type="dxa"/>
            <w:tcBorders>
              <w:bottom w:val="single" w:sz="4" w:space="0" w:color="000000"/>
            </w:tcBorders>
            <w:shd w:val="clear" w:color="auto" w:fill="auto"/>
          </w:tcPr>
          <w:p w14:paraId="2BA5A58C" w14:textId="77777777" w:rsidR="00E46006" w:rsidRPr="008207D1" w:rsidRDefault="00E46006" w:rsidP="00451FEB">
            <w:pPr>
              <w:pStyle w:val="TAC"/>
              <w:jc w:val="left"/>
              <w:rPr>
                <w:b/>
                <w:sz w:val="20"/>
              </w:rPr>
            </w:pPr>
            <w:r w:rsidRPr="008207D1">
              <w:rPr>
                <w:b/>
                <w:sz w:val="20"/>
              </w:rPr>
              <w:t xml:space="preserve">Methodology: </w:t>
            </w:r>
          </w:p>
          <w:p w14:paraId="0CCCB957" w14:textId="77777777" w:rsidR="00E46006" w:rsidRPr="008207D1" w:rsidRDefault="00E46006" w:rsidP="00451FEB">
            <w:pPr>
              <w:pStyle w:val="TAC"/>
              <w:jc w:val="left"/>
              <w:rPr>
                <w:sz w:val="20"/>
              </w:rPr>
            </w:pPr>
            <w:r w:rsidRPr="008207D1">
              <w:rPr>
                <w:sz w:val="20"/>
              </w:rPr>
              <w:t>The STF will use the following inputs for its work on this task:</w:t>
            </w:r>
          </w:p>
          <w:p w14:paraId="24EEEB0A" w14:textId="77777777" w:rsidR="00E46006" w:rsidRPr="008207D1" w:rsidRDefault="00E46006" w:rsidP="00451FEB">
            <w:pPr>
              <w:pStyle w:val="TAC"/>
              <w:jc w:val="left"/>
              <w:rPr>
                <w:sz w:val="20"/>
              </w:rPr>
            </w:pPr>
          </w:p>
          <w:p w14:paraId="7CBBAD74" w14:textId="77777777" w:rsidR="00E46006" w:rsidRPr="008207D1" w:rsidRDefault="00E46006" w:rsidP="00E46006">
            <w:pPr>
              <w:pStyle w:val="TAC"/>
              <w:numPr>
                <w:ilvl w:val="0"/>
                <w:numId w:val="23"/>
              </w:numPr>
              <w:jc w:val="left"/>
              <w:rPr>
                <w:sz w:val="20"/>
              </w:rPr>
            </w:pPr>
            <w:r w:rsidRPr="008207D1">
              <w:rPr>
                <w:rFonts w:cs="Arial"/>
                <w:sz w:val="20"/>
                <w:lang w:val="en-US"/>
              </w:rPr>
              <w:t>ETSI TS 119 172-1: “</w:t>
            </w:r>
            <w:r w:rsidRPr="008207D1">
              <w:rPr>
                <w:sz w:val="20"/>
              </w:rPr>
              <w:t>Electronic Signatures and Infrastructures (ESI); Signature Policies; Part 1: Building blocks and table of contents for human readable signature policy documents”, for identifying the required building blocks of a signature policy</w:t>
            </w:r>
          </w:p>
          <w:p w14:paraId="46FA3EA4" w14:textId="77777777" w:rsidR="00E46006" w:rsidRPr="008207D1" w:rsidRDefault="00E46006" w:rsidP="00451FEB">
            <w:pPr>
              <w:pStyle w:val="TAC"/>
              <w:ind w:left="360"/>
              <w:jc w:val="left"/>
              <w:rPr>
                <w:sz w:val="20"/>
              </w:rPr>
            </w:pPr>
          </w:p>
          <w:p w14:paraId="0941EB07" w14:textId="77777777" w:rsidR="00E46006" w:rsidRPr="008207D1" w:rsidRDefault="00E46006" w:rsidP="00E46006">
            <w:pPr>
              <w:pStyle w:val="TAC"/>
              <w:numPr>
                <w:ilvl w:val="0"/>
                <w:numId w:val="23"/>
              </w:numPr>
              <w:jc w:val="left"/>
              <w:rPr>
                <w:sz w:val="20"/>
              </w:rPr>
            </w:pPr>
            <w:r w:rsidRPr="008207D1">
              <w:rPr>
                <w:sz w:val="20"/>
              </w:rPr>
              <w:t>Take into account EN 319 102-1 to see which information is specifically important for the automatic processing of signature creation / validation algorithms.</w:t>
            </w:r>
          </w:p>
          <w:p w14:paraId="40E23007" w14:textId="77777777" w:rsidR="00E46006" w:rsidRPr="008207D1" w:rsidRDefault="00E46006" w:rsidP="00451FEB">
            <w:pPr>
              <w:pStyle w:val="TAC"/>
              <w:ind w:left="720"/>
              <w:jc w:val="left"/>
              <w:rPr>
                <w:sz w:val="20"/>
              </w:rPr>
            </w:pPr>
          </w:p>
          <w:p w14:paraId="40595722" w14:textId="77777777" w:rsidR="00E46006" w:rsidRPr="008207D1" w:rsidRDefault="00E46006" w:rsidP="00E46006">
            <w:pPr>
              <w:pStyle w:val="TAC"/>
              <w:numPr>
                <w:ilvl w:val="0"/>
                <w:numId w:val="23"/>
              </w:numPr>
              <w:jc w:val="left"/>
              <w:rPr>
                <w:sz w:val="20"/>
              </w:rPr>
            </w:pPr>
            <w:r w:rsidRPr="008207D1">
              <w:rPr>
                <w:sz w:val="20"/>
              </w:rPr>
              <w:t xml:space="preserve">ETSI TR 102 038: “TC Security - Electronic Signatures and Infrastructures (ESI); XML format for signature policies”. </w:t>
            </w:r>
          </w:p>
          <w:p w14:paraId="3E707DFB" w14:textId="77777777" w:rsidR="00E46006" w:rsidRPr="008207D1" w:rsidRDefault="00E46006" w:rsidP="00451FEB">
            <w:pPr>
              <w:pStyle w:val="TAC"/>
              <w:jc w:val="left"/>
              <w:rPr>
                <w:sz w:val="20"/>
              </w:rPr>
            </w:pPr>
          </w:p>
          <w:p w14:paraId="7C9DDCB9" w14:textId="77777777" w:rsidR="00E46006" w:rsidRPr="008207D1" w:rsidRDefault="00E46006" w:rsidP="00E46006">
            <w:pPr>
              <w:pStyle w:val="TAC"/>
              <w:numPr>
                <w:ilvl w:val="0"/>
                <w:numId w:val="23"/>
              </w:numPr>
              <w:jc w:val="left"/>
              <w:rPr>
                <w:sz w:val="20"/>
              </w:rPr>
            </w:pPr>
            <w:r w:rsidRPr="008207D1">
              <w:rPr>
                <w:sz w:val="20"/>
              </w:rPr>
              <w:t>The comments raised by stakeholders that implemented the aforementioned ETSI TR in order to extract requirements for the new deliverable in terms of new features that the former ETSI TR did not provide, ambiguities that the new deliverable should avoid, errors that the new deliverable should not incur in, etc.</w:t>
            </w:r>
          </w:p>
          <w:p w14:paraId="4F299D8B" w14:textId="77777777" w:rsidR="00E46006" w:rsidRPr="008207D1" w:rsidRDefault="00E46006" w:rsidP="00451FEB">
            <w:pPr>
              <w:pStyle w:val="TAC"/>
              <w:jc w:val="left"/>
              <w:rPr>
                <w:sz w:val="20"/>
              </w:rPr>
            </w:pPr>
          </w:p>
          <w:p w14:paraId="0A8DAC8D" w14:textId="77777777" w:rsidR="00E46006" w:rsidRPr="008207D1" w:rsidRDefault="00E46006" w:rsidP="00451FEB">
            <w:pPr>
              <w:pStyle w:val="TAC"/>
              <w:jc w:val="left"/>
              <w:rPr>
                <w:sz w:val="20"/>
              </w:rPr>
            </w:pPr>
            <w:r w:rsidRPr="008207D1">
              <w:rPr>
                <w:sz w:val="20"/>
              </w:rPr>
              <w:t>The STF will first identify the semantics that the XML and the ASN.1 formats need to express. For doing this ETSI TS 119 172-1 will be used as reference. This part of the work will be common to the production of the deliverables ETSI TS 119 172-2 and ETSI TS 119 172-3.</w:t>
            </w:r>
          </w:p>
          <w:p w14:paraId="78214289" w14:textId="77777777" w:rsidR="00E46006" w:rsidRPr="008207D1" w:rsidRDefault="00E46006" w:rsidP="00451FEB">
            <w:pPr>
              <w:pStyle w:val="TAC"/>
              <w:jc w:val="left"/>
              <w:rPr>
                <w:sz w:val="20"/>
              </w:rPr>
            </w:pPr>
          </w:p>
          <w:p w14:paraId="2F026D25" w14:textId="77777777" w:rsidR="00E46006" w:rsidRPr="008207D1" w:rsidRDefault="00E46006" w:rsidP="00451FEB">
            <w:pPr>
              <w:pStyle w:val="TAC"/>
              <w:jc w:val="left"/>
              <w:rPr>
                <w:sz w:val="20"/>
              </w:rPr>
            </w:pPr>
            <w:r w:rsidRPr="008207D1">
              <w:rPr>
                <w:sz w:val="20"/>
              </w:rPr>
              <w:t>Once this is done, ETSI TR 102 038 will be reviewed in order to check what parts of these semantics were already covered in this document. The STF will afterwards propose an XML Schema for a signature policy based on the previous findings and a thorough review of the comments received from stakeholders who implemented and used ETSI TR 102 038.</w:t>
            </w:r>
          </w:p>
          <w:p w14:paraId="0B21E329" w14:textId="77777777" w:rsidR="00E46006" w:rsidRPr="008207D1" w:rsidRDefault="00E46006" w:rsidP="00451FEB">
            <w:pPr>
              <w:pStyle w:val="TAC"/>
              <w:jc w:val="left"/>
              <w:rPr>
                <w:sz w:val="20"/>
              </w:rPr>
            </w:pPr>
            <w:r w:rsidRPr="008207D1">
              <w:rPr>
                <w:sz w:val="20"/>
              </w:rPr>
              <w:t>Note: after TS 119 172 parts 2 and 3 are published, it will be in TC ESI remit to decide on the status of TR 102 038 and TR 102 272 (e.g. make them historical, withdraw them)</w:t>
            </w:r>
          </w:p>
          <w:p w14:paraId="2E1450A5" w14:textId="77777777" w:rsidR="00E46006" w:rsidRPr="008207D1" w:rsidRDefault="00E46006" w:rsidP="00451FEB">
            <w:pPr>
              <w:pStyle w:val="TAC"/>
              <w:jc w:val="left"/>
              <w:rPr>
                <w:sz w:val="20"/>
              </w:rPr>
            </w:pPr>
          </w:p>
          <w:p w14:paraId="5C669EFC" w14:textId="77777777" w:rsidR="00E46006" w:rsidRPr="008207D1" w:rsidRDefault="00E46006" w:rsidP="00451FEB">
            <w:pPr>
              <w:pStyle w:val="TAC"/>
              <w:jc w:val="left"/>
              <w:rPr>
                <w:sz w:val="20"/>
              </w:rPr>
            </w:pPr>
            <w:r w:rsidRPr="008207D1">
              <w:rPr>
                <w:sz w:val="20"/>
              </w:rPr>
              <w:t>While defining the XML format, care will be taken in ensuring as much alignment as possible between this format and the ASN.1 format specified in the ETSI TS 119 172-3.</w:t>
            </w:r>
          </w:p>
          <w:p w14:paraId="67EE099A" w14:textId="77777777" w:rsidR="00E46006" w:rsidRPr="008207D1" w:rsidRDefault="00E46006" w:rsidP="00451FEB">
            <w:pPr>
              <w:pStyle w:val="TAC"/>
              <w:jc w:val="left"/>
              <w:rPr>
                <w:sz w:val="20"/>
              </w:rPr>
            </w:pPr>
          </w:p>
          <w:p w14:paraId="31F353E7" w14:textId="77777777" w:rsidR="00E46006" w:rsidRPr="008207D1" w:rsidRDefault="00E46006" w:rsidP="00451FEB">
            <w:pPr>
              <w:pStyle w:val="TAC"/>
              <w:jc w:val="left"/>
              <w:rPr>
                <w:sz w:val="20"/>
              </w:rPr>
            </w:pPr>
          </w:p>
          <w:p w14:paraId="5EE6A187" w14:textId="40AA391E" w:rsidR="00E46006" w:rsidRPr="008207D1" w:rsidRDefault="00E46006" w:rsidP="00451FEB">
            <w:pPr>
              <w:pStyle w:val="TAC"/>
              <w:jc w:val="left"/>
              <w:rPr>
                <w:sz w:val="20"/>
              </w:rPr>
            </w:pPr>
            <w:r w:rsidRPr="008207D1">
              <w:rPr>
                <w:b/>
                <w:sz w:val="20"/>
              </w:rPr>
              <w:t xml:space="preserve">Effort required: </w:t>
            </w:r>
            <w:r w:rsidR="00052A10">
              <w:rPr>
                <w:b/>
                <w:sz w:val="20"/>
              </w:rPr>
              <w:t>18 000 EUR</w:t>
            </w:r>
          </w:p>
          <w:p w14:paraId="50CFA55D" w14:textId="77777777" w:rsidR="00E46006" w:rsidRPr="008207D1" w:rsidRDefault="00E46006" w:rsidP="00451FEB">
            <w:pPr>
              <w:pStyle w:val="TAC"/>
              <w:jc w:val="left"/>
              <w:rPr>
                <w:sz w:val="20"/>
              </w:rPr>
            </w:pPr>
          </w:p>
          <w:p w14:paraId="4907BB26" w14:textId="77777777" w:rsidR="00E46006" w:rsidRPr="008207D1" w:rsidRDefault="00E46006" w:rsidP="00451FEB">
            <w:pPr>
              <w:pStyle w:val="TAC"/>
              <w:jc w:val="left"/>
              <w:rPr>
                <w:sz w:val="20"/>
              </w:rPr>
            </w:pPr>
            <w:r w:rsidRPr="008207D1">
              <w:rPr>
                <w:b/>
                <w:sz w:val="20"/>
              </w:rPr>
              <w:t>Intermediate and final Milestones:</w:t>
            </w:r>
          </w:p>
          <w:p w14:paraId="48A37CE4" w14:textId="77777777" w:rsidR="00E46006" w:rsidRPr="008207D1" w:rsidRDefault="00E46006" w:rsidP="00451FEB">
            <w:pPr>
              <w:pStyle w:val="TAC"/>
              <w:ind w:left="708"/>
              <w:jc w:val="left"/>
              <w:rPr>
                <w:sz w:val="20"/>
              </w:rPr>
            </w:pPr>
            <w:r w:rsidRPr="008207D1">
              <w:rPr>
                <w:b/>
                <w:sz w:val="20"/>
              </w:rPr>
              <w:t>Start</w:t>
            </w:r>
            <w:r w:rsidRPr="008207D1">
              <w:rPr>
                <w:sz w:val="20"/>
              </w:rPr>
              <w:t>: Immediately after establishment of the project team.</w:t>
            </w:r>
          </w:p>
          <w:p w14:paraId="42FB19BC" w14:textId="77777777" w:rsidR="00E46006" w:rsidRPr="008207D1" w:rsidRDefault="00E46006" w:rsidP="00451FEB">
            <w:pPr>
              <w:pStyle w:val="TAC"/>
              <w:ind w:left="708"/>
              <w:jc w:val="left"/>
              <w:rPr>
                <w:sz w:val="20"/>
              </w:rPr>
            </w:pPr>
            <w:r w:rsidRPr="008207D1">
              <w:rPr>
                <w:b/>
                <w:sz w:val="20"/>
              </w:rPr>
              <w:t>M2.1</w:t>
            </w:r>
            <w:r w:rsidRPr="008207D1">
              <w:rPr>
                <w:sz w:val="20"/>
              </w:rPr>
              <w:t>: Consolidated draft for ESI: end of T0 +7 months</w:t>
            </w:r>
          </w:p>
          <w:p w14:paraId="36171225" w14:textId="77777777" w:rsidR="00E46006" w:rsidRPr="008207D1" w:rsidRDefault="00E46006" w:rsidP="00451FEB">
            <w:pPr>
              <w:pStyle w:val="TAC"/>
              <w:ind w:left="708"/>
              <w:jc w:val="left"/>
              <w:rPr>
                <w:sz w:val="20"/>
              </w:rPr>
            </w:pPr>
            <w:r w:rsidRPr="008207D1">
              <w:rPr>
                <w:b/>
                <w:sz w:val="20"/>
              </w:rPr>
              <w:t>M2.2</w:t>
            </w:r>
            <w:r w:rsidRPr="008207D1">
              <w:rPr>
                <w:sz w:val="20"/>
              </w:rPr>
              <w:t>: Consolidated draft for public review: end of T0 +10 months</w:t>
            </w:r>
          </w:p>
          <w:p w14:paraId="2E1FEEE8" w14:textId="77777777" w:rsidR="00E46006" w:rsidRPr="008207D1" w:rsidRDefault="00E46006" w:rsidP="00451FEB">
            <w:pPr>
              <w:pStyle w:val="TAC"/>
              <w:ind w:left="708"/>
              <w:jc w:val="left"/>
              <w:rPr>
                <w:sz w:val="20"/>
              </w:rPr>
            </w:pPr>
            <w:r w:rsidRPr="008207D1">
              <w:rPr>
                <w:b/>
                <w:sz w:val="20"/>
              </w:rPr>
              <w:t>M2.3</w:t>
            </w:r>
            <w:r w:rsidRPr="008207D1">
              <w:rPr>
                <w:sz w:val="20"/>
              </w:rPr>
              <w:t>: Final draft for ESI approval: end of T0 +13 months</w:t>
            </w:r>
          </w:p>
          <w:p w14:paraId="1A1D0F7A" w14:textId="77777777" w:rsidR="00E46006" w:rsidRPr="008207D1" w:rsidRDefault="00E46006" w:rsidP="00451FEB">
            <w:pPr>
              <w:pStyle w:val="TAC"/>
              <w:ind w:left="708"/>
              <w:jc w:val="left"/>
              <w:rPr>
                <w:sz w:val="20"/>
              </w:rPr>
            </w:pPr>
            <w:r w:rsidRPr="008207D1">
              <w:rPr>
                <w:b/>
                <w:sz w:val="20"/>
              </w:rPr>
              <w:t>M2.4:</w:t>
            </w:r>
            <w:r w:rsidRPr="008207D1">
              <w:rPr>
                <w:sz w:val="20"/>
              </w:rPr>
              <w:t xml:space="preserve"> TS published: end of T0 +15 months</w:t>
            </w:r>
          </w:p>
          <w:p w14:paraId="69D58C77" w14:textId="77777777" w:rsidR="007E6A3F" w:rsidRDefault="007E6A3F" w:rsidP="006A5009">
            <w:pPr>
              <w:pStyle w:val="TAC"/>
              <w:jc w:val="left"/>
              <w:rPr>
                <w:b/>
                <w:sz w:val="20"/>
              </w:rPr>
            </w:pPr>
          </w:p>
          <w:p w14:paraId="7893ACCE" w14:textId="77777777" w:rsidR="008207D1" w:rsidRDefault="008207D1" w:rsidP="006A5009">
            <w:pPr>
              <w:pStyle w:val="TAC"/>
              <w:jc w:val="left"/>
              <w:rPr>
                <w:b/>
                <w:sz w:val="20"/>
              </w:rPr>
            </w:pPr>
          </w:p>
          <w:p w14:paraId="666DE8D5" w14:textId="77777777" w:rsidR="008207D1" w:rsidRDefault="008207D1" w:rsidP="006A5009">
            <w:pPr>
              <w:pStyle w:val="TAC"/>
              <w:jc w:val="left"/>
              <w:rPr>
                <w:b/>
                <w:sz w:val="20"/>
              </w:rPr>
            </w:pPr>
          </w:p>
          <w:p w14:paraId="379796FE" w14:textId="6C0712EC" w:rsidR="008207D1" w:rsidRPr="008207D1" w:rsidRDefault="008207D1" w:rsidP="006A5009">
            <w:pPr>
              <w:pStyle w:val="TAC"/>
              <w:jc w:val="left"/>
              <w:rPr>
                <w:b/>
                <w:sz w:val="20"/>
              </w:rPr>
            </w:pPr>
          </w:p>
        </w:tc>
        <w:tc>
          <w:tcPr>
            <w:tcW w:w="1576" w:type="dxa"/>
            <w:tcBorders>
              <w:bottom w:val="single" w:sz="4" w:space="0" w:color="000000"/>
            </w:tcBorders>
            <w:shd w:val="clear" w:color="auto" w:fill="auto"/>
          </w:tcPr>
          <w:p w14:paraId="4D886BA2" w14:textId="77777777" w:rsidR="00E46006" w:rsidRDefault="00E46006" w:rsidP="00451FEB">
            <w:pPr>
              <w:pStyle w:val="TAC"/>
            </w:pPr>
          </w:p>
        </w:tc>
      </w:tr>
      <w:tr w:rsidR="00E46006" w14:paraId="3C95EC75" w14:textId="77777777" w:rsidTr="00451FEB">
        <w:tc>
          <w:tcPr>
            <w:tcW w:w="952" w:type="dxa"/>
            <w:shd w:val="clear" w:color="auto" w:fill="00FFFF"/>
          </w:tcPr>
          <w:p w14:paraId="685C2581" w14:textId="77777777" w:rsidR="00E46006" w:rsidRDefault="00E46006" w:rsidP="00451FEB">
            <w:pPr>
              <w:pStyle w:val="TH"/>
            </w:pPr>
          </w:p>
        </w:tc>
        <w:tc>
          <w:tcPr>
            <w:tcW w:w="6534" w:type="dxa"/>
            <w:shd w:val="clear" w:color="auto" w:fill="00FFFF"/>
          </w:tcPr>
          <w:p w14:paraId="3217A5B3" w14:textId="77777777" w:rsidR="00E46006" w:rsidRPr="007E6A3F" w:rsidRDefault="00E46006" w:rsidP="00451FEB">
            <w:pPr>
              <w:pStyle w:val="TH"/>
            </w:pPr>
            <w:r w:rsidRPr="007E6A3F">
              <w:t>Production of Technical Specifications for ASN.1 format for signature policies</w:t>
            </w:r>
          </w:p>
        </w:tc>
        <w:tc>
          <w:tcPr>
            <w:tcW w:w="1576" w:type="dxa"/>
            <w:shd w:val="clear" w:color="auto" w:fill="00FFFF"/>
          </w:tcPr>
          <w:p w14:paraId="503C83B7" w14:textId="77777777" w:rsidR="00E46006" w:rsidRDefault="00E46006" w:rsidP="00451FEB">
            <w:pPr>
              <w:pStyle w:val="TH"/>
            </w:pPr>
          </w:p>
        </w:tc>
      </w:tr>
      <w:tr w:rsidR="00E46006" w14:paraId="630EDD18" w14:textId="77777777" w:rsidTr="00451FEB">
        <w:tc>
          <w:tcPr>
            <w:tcW w:w="952" w:type="dxa"/>
            <w:shd w:val="clear" w:color="auto" w:fill="auto"/>
          </w:tcPr>
          <w:p w14:paraId="5E9D0A56" w14:textId="4D218863" w:rsidR="00E46006" w:rsidRPr="00053FFD" w:rsidRDefault="009A1108" w:rsidP="00451FEB">
            <w:pPr>
              <w:pStyle w:val="TAC"/>
              <w:rPr>
                <w:lang w:val="en-US"/>
              </w:rPr>
            </w:pPr>
            <w:fldSimple w:instr=" SEQ TTASK \* MERGEFORMAT ">
              <w:r w:rsidR="006A5009">
                <w:rPr>
                  <w:noProof/>
                </w:rPr>
                <w:t>3</w:t>
              </w:r>
            </w:fldSimple>
          </w:p>
        </w:tc>
        <w:tc>
          <w:tcPr>
            <w:tcW w:w="6534" w:type="dxa"/>
            <w:shd w:val="clear" w:color="auto" w:fill="auto"/>
          </w:tcPr>
          <w:p w14:paraId="49A26A2C" w14:textId="77777777" w:rsidR="00E46006" w:rsidRPr="007E6A3F" w:rsidRDefault="00E46006" w:rsidP="00451FEB">
            <w:pPr>
              <w:pStyle w:val="TAL"/>
              <w:rPr>
                <w:rFonts w:cs="Arial"/>
                <w:sz w:val="20"/>
                <w:lang w:val="en-US"/>
              </w:rPr>
            </w:pPr>
            <w:r w:rsidRPr="007E6A3F">
              <w:rPr>
                <w:b/>
                <w:sz w:val="20"/>
              </w:rPr>
              <w:t>Description</w:t>
            </w:r>
            <w:r w:rsidRPr="007E6A3F">
              <w:rPr>
                <w:rFonts w:cs="Arial"/>
                <w:b/>
                <w:sz w:val="20"/>
                <w:lang w:val="en-US"/>
              </w:rPr>
              <w:t>:</w:t>
            </w:r>
            <w:r w:rsidRPr="007E6A3F">
              <w:rPr>
                <w:rFonts w:cs="Arial"/>
                <w:sz w:val="20"/>
                <w:lang w:val="en-US"/>
              </w:rPr>
              <w:t xml:space="preserve"> The goal of this task is to produce the deliverable TS 119 172-3: </w:t>
            </w:r>
            <w:r w:rsidRPr="007E6A3F">
              <w:rPr>
                <w:sz w:val="20"/>
              </w:rPr>
              <w:t>“Electronic Signatures and Infrastructures (ESI); Signature Policies; Part 3; ASN.1 format for signature policies”</w:t>
            </w:r>
            <w:r w:rsidRPr="007E6A3F">
              <w:rPr>
                <w:rFonts w:cs="Arial"/>
                <w:sz w:val="20"/>
                <w:lang w:val="en-US"/>
              </w:rPr>
              <w:t>. This deliverable will fully specify an ASN.1 format for describing a signature policy based on the signature policy building blocks defined in ETSI TS 119 172-1: “</w:t>
            </w:r>
            <w:r w:rsidRPr="007E6A3F">
              <w:rPr>
                <w:sz w:val="20"/>
              </w:rPr>
              <w:t>Electronic Signatures and Infrastructures (ESI); Signature Policies; Part 1: Building blocks and table of contents for human readable signature policy documents”.</w:t>
            </w:r>
          </w:p>
        </w:tc>
        <w:tc>
          <w:tcPr>
            <w:tcW w:w="1576" w:type="dxa"/>
            <w:shd w:val="clear" w:color="auto" w:fill="auto"/>
          </w:tcPr>
          <w:p w14:paraId="76CFE728" w14:textId="77777777" w:rsidR="00E46006" w:rsidRDefault="00E46006" w:rsidP="00451FEB">
            <w:pPr>
              <w:pStyle w:val="TAC"/>
            </w:pPr>
            <w:r>
              <w:t>TS 119 172-3</w:t>
            </w:r>
          </w:p>
          <w:p w14:paraId="20E3ED2F" w14:textId="77777777" w:rsidR="00E46006" w:rsidRDefault="00E46006" w:rsidP="00451FEB">
            <w:pPr>
              <w:pStyle w:val="TAC"/>
            </w:pPr>
            <w:r w:rsidRPr="008207D1">
              <w:rPr>
                <w:rFonts w:cs="Arial"/>
                <w:color w:val="000000"/>
                <w:sz w:val="20"/>
              </w:rPr>
              <w:t>DTS/ESI-0019172-3</w:t>
            </w:r>
          </w:p>
        </w:tc>
      </w:tr>
      <w:tr w:rsidR="00E46006" w14:paraId="65666A6B" w14:textId="77777777" w:rsidTr="00451FEB">
        <w:tc>
          <w:tcPr>
            <w:tcW w:w="952" w:type="dxa"/>
            <w:shd w:val="clear" w:color="auto" w:fill="auto"/>
          </w:tcPr>
          <w:p w14:paraId="4C44C453" w14:textId="77777777" w:rsidR="00E46006" w:rsidRDefault="00E46006" w:rsidP="00451FEB">
            <w:pPr>
              <w:pStyle w:val="TAC"/>
            </w:pPr>
          </w:p>
        </w:tc>
        <w:tc>
          <w:tcPr>
            <w:tcW w:w="6534" w:type="dxa"/>
            <w:shd w:val="clear" w:color="auto" w:fill="auto"/>
          </w:tcPr>
          <w:p w14:paraId="052C7F7E" w14:textId="77777777" w:rsidR="00E46006" w:rsidRPr="007E6A3F" w:rsidRDefault="00E46006" w:rsidP="00451FEB">
            <w:pPr>
              <w:pStyle w:val="TAC"/>
              <w:jc w:val="left"/>
              <w:rPr>
                <w:b/>
                <w:sz w:val="20"/>
              </w:rPr>
            </w:pPr>
            <w:r w:rsidRPr="007E6A3F">
              <w:rPr>
                <w:b/>
                <w:sz w:val="20"/>
              </w:rPr>
              <w:t xml:space="preserve">Methodology: </w:t>
            </w:r>
          </w:p>
          <w:p w14:paraId="1723C85D" w14:textId="77777777" w:rsidR="00E46006" w:rsidRPr="007E6A3F" w:rsidRDefault="00E46006" w:rsidP="00451FEB">
            <w:pPr>
              <w:pStyle w:val="TAC"/>
              <w:jc w:val="left"/>
              <w:rPr>
                <w:sz w:val="20"/>
              </w:rPr>
            </w:pPr>
            <w:r w:rsidRPr="007E6A3F">
              <w:rPr>
                <w:sz w:val="20"/>
              </w:rPr>
              <w:t>The STF will use the following inputs for its work:</w:t>
            </w:r>
          </w:p>
          <w:p w14:paraId="52CA451E" w14:textId="77777777" w:rsidR="00E46006" w:rsidRPr="007E6A3F" w:rsidRDefault="00E46006" w:rsidP="00451FEB">
            <w:pPr>
              <w:pStyle w:val="TAC"/>
              <w:jc w:val="left"/>
              <w:rPr>
                <w:sz w:val="20"/>
              </w:rPr>
            </w:pPr>
          </w:p>
          <w:p w14:paraId="34CA659E" w14:textId="77777777" w:rsidR="00E46006" w:rsidRPr="007E6A3F" w:rsidRDefault="00E46006" w:rsidP="00E46006">
            <w:pPr>
              <w:pStyle w:val="TAC"/>
              <w:numPr>
                <w:ilvl w:val="0"/>
                <w:numId w:val="23"/>
              </w:numPr>
              <w:jc w:val="left"/>
              <w:rPr>
                <w:sz w:val="20"/>
              </w:rPr>
            </w:pPr>
            <w:r w:rsidRPr="007E6A3F">
              <w:rPr>
                <w:rFonts w:cs="Arial"/>
                <w:sz w:val="20"/>
                <w:lang w:val="en-US"/>
              </w:rPr>
              <w:t>ETSI TS 119 172-1: “</w:t>
            </w:r>
            <w:r w:rsidRPr="007E6A3F">
              <w:rPr>
                <w:sz w:val="20"/>
              </w:rPr>
              <w:t>Electronic Signatures and Infrastructures (ESI); Signature Policies; Part 1: Building blocks and table of contents for human readable signature policy documents”, for identifying the required building blocks of a signature policy.</w:t>
            </w:r>
          </w:p>
          <w:p w14:paraId="53A93072" w14:textId="77777777" w:rsidR="00E46006" w:rsidRPr="007E6A3F" w:rsidRDefault="00E46006" w:rsidP="00451FEB">
            <w:pPr>
              <w:pStyle w:val="TAC"/>
              <w:ind w:left="360"/>
              <w:jc w:val="left"/>
              <w:rPr>
                <w:sz w:val="20"/>
              </w:rPr>
            </w:pPr>
          </w:p>
          <w:p w14:paraId="1CB45B49" w14:textId="77777777" w:rsidR="00E46006" w:rsidRPr="007E6A3F" w:rsidRDefault="00E46006" w:rsidP="00E46006">
            <w:pPr>
              <w:pStyle w:val="TAC"/>
              <w:numPr>
                <w:ilvl w:val="0"/>
                <w:numId w:val="23"/>
              </w:numPr>
              <w:jc w:val="left"/>
              <w:rPr>
                <w:sz w:val="20"/>
              </w:rPr>
            </w:pPr>
            <w:r w:rsidRPr="007E6A3F">
              <w:rPr>
                <w:sz w:val="20"/>
              </w:rPr>
              <w:t>Take into account EN 319 102-1 to see which information is specifically important for the automatic processing of signature creation / validation algorithms.</w:t>
            </w:r>
          </w:p>
          <w:p w14:paraId="4E1EB924" w14:textId="77777777" w:rsidR="00E46006" w:rsidRPr="007E6A3F" w:rsidRDefault="00E46006" w:rsidP="00451FEB">
            <w:pPr>
              <w:pStyle w:val="TAC"/>
              <w:ind w:left="720"/>
              <w:jc w:val="left"/>
              <w:rPr>
                <w:sz w:val="20"/>
              </w:rPr>
            </w:pPr>
          </w:p>
          <w:p w14:paraId="0BB167B5" w14:textId="77777777" w:rsidR="00E46006" w:rsidRPr="007E6A3F" w:rsidRDefault="00E46006" w:rsidP="00E46006">
            <w:pPr>
              <w:pStyle w:val="TAC"/>
              <w:numPr>
                <w:ilvl w:val="0"/>
                <w:numId w:val="23"/>
              </w:numPr>
              <w:jc w:val="left"/>
              <w:rPr>
                <w:sz w:val="20"/>
              </w:rPr>
            </w:pPr>
            <w:r w:rsidRPr="007E6A3F">
              <w:rPr>
                <w:sz w:val="20"/>
              </w:rPr>
              <w:t xml:space="preserve">ETSI TR 102 272: “Electronic Signatures and Infrastructures (ESI); ASN.1 format for signature policies”. </w:t>
            </w:r>
          </w:p>
          <w:p w14:paraId="2FE44520" w14:textId="77777777" w:rsidR="00E46006" w:rsidRPr="007E6A3F" w:rsidRDefault="00E46006" w:rsidP="00451FEB">
            <w:pPr>
              <w:pStyle w:val="TAC"/>
              <w:jc w:val="left"/>
              <w:rPr>
                <w:sz w:val="20"/>
              </w:rPr>
            </w:pPr>
          </w:p>
          <w:p w14:paraId="633CA335" w14:textId="77777777" w:rsidR="00E46006" w:rsidRPr="007E6A3F" w:rsidRDefault="00E46006" w:rsidP="00E46006">
            <w:pPr>
              <w:pStyle w:val="TAC"/>
              <w:numPr>
                <w:ilvl w:val="0"/>
                <w:numId w:val="23"/>
              </w:numPr>
              <w:jc w:val="left"/>
              <w:rPr>
                <w:sz w:val="20"/>
              </w:rPr>
            </w:pPr>
            <w:r w:rsidRPr="007E6A3F">
              <w:rPr>
                <w:sz w:val="20"/>
              </w:rPr>
              <w:t>The comments raised by stakeholders that implemented the aforementioned ETSI TR in order to extract requirements for the new deliverable in terms of new features that the former ETSI TR did not provided, ambiguities that the new deliverable should avoid, errors that the new deliverable should not incur in, etc.</w:t>
            </w:r>
          </w:p>
          <w:p w14:paraId="284E0624" w14:textId="77777777" w:rsidR="00E46006" w:rsidRPr="007E6A3F" w:rsidRDefault="00E46006" w:rsidP="00451FEB">
            <w:pPr>
              <w:pStyle w:val="TAC"/>
              <w:jc w:val="left"/>
              <w:rPr>
                <w:sz w:val="20"/>
              </w:rPr>
            </w:pPr>
          </w:p>
          <w:p w14:paraId="544E5D68" w14:textId="77777777" w:rsidR="00E46006" w:rsidRPr="007E6A3F" w:rsidRDefault="00E46006" w:rsidP="00451FEB">
            <w:pPr>
              <w:pStyle w:val="TAC"/>
              <w:jc w:val="left"/>
              <w:rPr>
                <w:sz w:val="20"/>
              </w:rPr>
            </w:pPr>
            <w:r w:rsidRPr="007E6A3F">
              <w:rPr>
                <w:sz w:val="20"/>
              </w:rPr>
              <w:t xml:space="preserve">As already mentioned in the description of task 2, the first common work for these two tasks will be the identification of the semantics that the ASN.1 and the XML format need to express. For doing this, ETSI TS 119 172-1 will be used as reference. </w:t>
            </w:r>
          </w:p>
          <w:p w14:paraId="5D623FD0" w14:textId="77777777" w:rsidR="00E46006" w:rsidRPr="007E6A3F" w:rsidRDefault="00E46006" w:rsidP="00451FEB">
            <w:pPr>
              <w:pStyle w:val="TAC"/>
              <w:jc w:val="left"/>
              <w:rPr>
                <w:sz w:val="20"/>
              </w:rPr>
            </w:pPr>
          </w:p>
          <w:p w14:paraId="1D36F105" w14:textId="77777777" w:rsidR="00E46006" w:rsidRPr="007E6A3F" w:rsidRDefault="00E46006" w:rsidP="00451FEB">
            <w:pPr>
              <w:pStyle w:val="TAC"/>
              <w:jc w:val="left"/>
              <w:rPr>
                <w:sz w:val="20"/>
              </w:rPr>
            </w:pPr>
            <w:r w:rsidRPr="007E6A3F">
              <w:rPr>
                <w:sz w:val="20"/>
              </w:rPr>
              <w:t>Once this is done, ETSI TR 102 272 will be reviewed in order to check what parts of these semantics were already covered in this document. The project team will afterwards propose the ASN.1 definition for a signature policy based on the previous findings and a thorough review of the comments received from stakeholders who implemented and used ETSI TR 102 272.</w:t>
            </w:r>
          </w:p>
          <w:p w14:paraId="5FC91A37" w14:textId="77777777" w:rsidR="00E46006" w:rsidRPr="007E6A3F" w:rsidRDefault="00E46006" w:rsidP="00451FEB">
            <w:pPr>
              <w:pStyle w:val="TAC"/>
              <w:jc w:val="left"/>
              <w:rPr>
                <w:sz w:val="20"/>
              </w:rPr>
            </w:pPr>
            <w:r w:rsidRPr="007E6A3F">
              <w:rPr>
                <w:sz w:val="20"/>
              </w:rPr>
              <w:t>Note: after TS 119 172 parts 2 and 3 are published, it will be in TC ESI remit to decide on the status of TR 102 038 and TR 102 272 (e.g. make them historical, withdraw them)</w:t>
            </w:r>
          </w:p>
          <w:p w14:paraId="40FFA22C" w14:textId="77777777" w:rsidR="00E46006" w:rsidRPr="007E6A3F" w:rsidRDefault="00E46006" w:rsidP="00451FEB">
            <w:pPr>
              <w:pStyle w:val="TAC"/>
              <w:jc w:val="left"/>
              <w:rPr>
                <w:sz w:val="20"/>
              </w:rPr>
            </w:pPr>
          </w:p>
          <w:p w14:paraId="29FD44EF" w14:textId="77777777" w:rsidR="00E46006" w:rsidRPr="007E6A3F" w:rsidRDefault="00E46006" w:rsidP="00451FEB">
            <w:pPr>
              <w:pStyle w:val="TAC"/>
              <w:jc w:val="left"/>
              <w:rPr>
                <w:sz w:val="20"/>
              </w:rPr>
            </w:pPr>
          </w:p>
          <w:p w14:paraId="744A3B38" w14:textId="77777777" w:rsidR="00E46006" w:rsidRPr="007E6A3F" w:rsidRDefault="00E46006" w:rsidP="00451FEB">
            <w:pPr>
              <w:pStyle w:val="TAC"/>
              <w:jc w:val="left"/>
              <w:rPr>
                <w:sz w:val="20"/>
              </w:rPr>
            </w:pPr>
            <w:r w:rsidRPr="007E6A3F">
              <w:rPr>
                <w:sz w:val="20"/>
              </w:rPr>
              <w:t>As mentioned in task 2, while defining the ASN.1 format, care will be taken in ensuring as much alignment as possible between this format and the XML format specified in ETSI TS 119 172-2.</w:t>
            </w:r>
          </w:p>
          <w:p w14:paraId="5ECECE99" w14:textId="77777777" w:rsidR="00E46006" w:rsidRPr="007E6A3F" w:rsidRDefault="00E46006" w:rsidP="00451FEB">
            <w:pPr>
              <w:pStyle w:val="TAC"/>
              <w:jc w:val="left"/>
              <w:rPr>
                <w:sz w:val="20"/>
              </w:rPr>
            </w:pPr>
          </w:p>
          <w:p w14:paraId="3ED8BC24" w14:textId="77777777" w:rsidR="00E46006" w:rsidRPr="007E6A3F" w:rsidRDefault="00E46006" w:rsidP="00451FEB">
            <w:pPr>
              <w:pStyle w:val="TAC"/>
              <w:jc w:val="left"/>
              <w:rPr>
                <w:sz w:val="20"/>
              </w:rPr>
            </w:pPr>
          </w:p>
          <w:p w14:paraId="1BB694E3" w14:textId="2CD9A307" w:rsidR="00E46006" w:rsidRPr="007E6A3F" w:rsidRDefault="00E46006" w:rsidP="00451FEB">
            <w:pPr>
              <w:pStyle w:val="TAC"/>
              <w:tabs>
                <w:tab w:val="center" w:pos="3159"/>
              </w:tabs>
              <w:jc w:val="left"/>
              <w:rPr>
                <w:sz w:val="20"/>
              </w:rPr>
            </w:pPr>
            <w:r w:rsidRPr="007E6A3F">
              <w:rPr>
                <w:b/>
                <w:sz w:val="20"/>
              </w:rPr>
              <w:t xml:space="preserve">Effort required: </w:t>
            </w:r>
            <w:r w:rsidR="00052A10" w:rsidRPr="00052A10">
              <w:rPr>
                <w:b/>
                <w:sz w:val="20"/>
              </w:rPr>
              <w:t>18 000 EUR</w:t>
            </w:r>
            <w:r w:rsidRPr="007E6A3F">
              <w:rPr>
                <w:sz w:val="20"/>
              </w:rPr>
              <w:t xml:space="preserve"> </w:t>
            </w:r>
            <w:r w:rsidRPr="007E6A3F">
              <w:rPr>
                <w:sz w:val="20"/>
              </w:rPr>
              <w:tab/>
            </w:r>
          </w:p>
          <w:p w14:paraId="467A79D8" w14:textId="77777777" w:rsidR="00E46006" w:rsidRPr="007E6A3F" w:rsidRDefault="00E46006" w:rsidP="00451FEB">
            <w:pPr>
              <w:pStyle w:val="TAC"/>
              <w:jc w:val="left"/>
              <w:rPr>
                <w:sz w:val="20"/>
              </w:rPr>
            </w:pPr>
          </w:p>
          <w:p w14:paraId="63A121D8" w14:textId="77777777" w:rsidR="00E46006" w:rsidRPr="007E6A3F" w:rsidRDefault="00E46006" w:rsidP="00451FEB">
            <w:pPr>
              <w:pStyle w:val="TAC"/>
              <w:jc w:val="left"/>
              <w:rPr>
                <w:sz w:val="20"/>
              </w:rPr>
            </w:pPr>
            <w:r w:rsidRPr="007E6A3F">
              <w:rPr>
                <w:b/>
                <w:sz w:val="20"/>
              </w:rPr>
              <w:t>Intermediate and final Milestones:</w:t>
            </w:r>
          </w:p>
          <w:p w14:paraId="379C3529" w14:textId="77777777" w:rsidR="00E46006" w:rsidRPr="007E6A3F" w:rsidRDefault="00E46006" w:rsidP="00451FEB">
            <w:pPr>
              <w:pStyle w:val="TAC"/>
              <w:ind w:left="708"/>
              <w:jc w:val="left"/>
              <w:rPr>
                <w:sz w:val="20"/>
              </w:rPr>
            </w:pPr>
            <w:r w:rsidRPr="007E6A3F">
              <w:rPr>
                <w:b/>
                <w:sz w:val="20"/>
              </w:rPr>
              <w:t>Start</w:t>
            </w:r>
            <w:r w:rsidRPr="007E6A3F">
              <w:rPr>
                <w:sz w:val="20"/>
              </w:rPr>
              <w:t>: Immediately after establishment of the project team</w:t>
            </w:r>
          </w:p>
          <w:p w14:paraId="7EB029A0" w14:textId="77777777" w:rsidR="00E46006" w:rsidRPr="007E6A3F" w:rsidRDefault="00E46006" w:rsidP="00451FEB">
            <w:pPr>
              <w:pStyle w:val="TAC"/>
              <w:ind w:left="708"/>
              <w:jc w:val="left"/>
              <w:rPr>
                <w:sz w:val="20"/>
              </w:rPr>
            </w:pPr>
            <w:r w:rsidRPr="007E6A3F">
              <w:rPr>
                <w:b/>
                <w:sz w:val="20"/>
              </w:rPr>
              <w:t>M3.1</w:t>
            </w:r>
            <w:r w:rsidRPr="007E6A3F">
              <w:rPr>
                <w:sz w:val="20"/>
              </w:rPr>
              <w:t>: Consolidated draft for ESI: end of T0 +7 months</w:t>
            </w:r>
          </w:p>
          <w:p w14:paraId="4739E71F" w14:textId="77777777" w:rsidR="00E46006" w:rsidRPr="007E6A3F" w:rsidRDefault="00E46006" w:rsidP="00451FEB">
            <w:pPr>
              <w:pStyle w:val="TAC"/>
              <w:ind w:left="708"/>
              <w:jc w:val="left"/>
              <w:rPr>
                <w:sz w:val="20"/>
              </w:rPr>
            </w:pPr>
            <w:r w:rsidRPr="007E6A3F">
              <w:rPr>
                <w:b/>
                <w:sz w:val="20"/>
              </w:rPr>
              <w:t>M3.2</w:t>
            </w:r>
            <w:r w:rsidRPr="007E6A3F">
              <w:rPr>
                <w:sz w:val="20"/>
              </w:rPr>
              <w:t>: Consolidated draft for public review: end of T0 +10 months</w:t>
            </w:r>
          </w:p>
          <w:p w14:paraId="13645DD1" w14:textId="77777777" w:rsidR="00E46006" w:rsidRPr="007E6A3F" w:rsidRDefault="00E46006" w:rsidP="00451FEB">
            <w:pPr>
              <w:pStyle w:val="TAC"/>
              <w:ind w:left="708"/>
              <w:jc w:val="left"/>
              <w:rPr>
                <w:sz w:val="20"/>
              </w:rPr>
            </w:pPr>
            <w:r w:rsidRPr="007E6A3F">
              <w:rPr>
                <w:b/>
                <w:sz w:val="20"/>
              </w:rPr>
              <w:t>M3.3</w:t>
            </w:r>
            <w:r w:rsidRPr="007E6A3F">
              <w:rPr>
                <w:sz w:val="20"/>
              </w:rPr>
              <w:t>: Final draft for ESI approval: end of T0 +13 months</w:t>
            </w:r>
          </w:p>
          <w:p w14:paraId="0C6FCE54" w14:textId="77777777" w:rsidR="00E46006" w:rsidRPr="007E6A3F" w:rsidRDefault="00E46006" w:rsidP="00451FEB">
            <w:pPr>
              <w:pStyle w:val="TAC"/>
              <w:ind w:left="708"/>
              <w:jc w:val="left"/>
              <w:rPr>
                <w:sz w:val="20"/>
              </w:rPr>
            </w:pPr>
            <w:r w:rsidRPr="007E6A3F">
              <w:rPr>
                <w:b/>
                <w:sz w:val="20"/>
              </w:rPr>
              <w:t>M3.4:</w:t>
            </w:r>
            <w:r w:rsidRPr="007E6A3F">
              <w:rPr>
                <w:sz w:val="20"/>
              </w:rPr>
              <w:t xml:space="preserve"> TS published: end of T0 +15 months</w:t>
            </w:r>
          </w:p>
          <w:p w14:paraId="384B3738" w14:textId="5B66B312" w:rsidR="00E46006" w:rsidRDefault="00E46006" w:rsidP="00451FEB">
            <w:pPr>
              <w:pStyle w:val="TAC"/>
              <w:jc w:val="left"/>
              <w:rPr>
                <w:sz w:val="20"/>
              </w:rPr>
            </w:pPr>
          </w:p>
          <w:p w14:paraId="0DF0964E" w14:textId="10207FEA" w:rsidR="006A5009" w:rsidRDefault="006A5009" w:rsidP="00451FEB">
            <w:pPr>
              <w:pStyle w:val="TAC"/>
              <w:jc w:val="left"/>
              <w:rPr>
                <w:sz w:val="20"/>
              </w:rPr>
            </w:pPr>
          </w:p>
          <w:p w14:paraId="49D7DC3E" w14:textId="7C638137" w:rsidR="006A5009" w:rsidRDefault="006A5009" w:rsidP="00451FEB">
            <w:pPr>
              <w:pStyle w:val="TAC"/>
              <w:jc w:val="left"/>
              <w:rPr>
                <w:sz w:val="20"/>
              </w:rPr>
            </w:pPr>
          </w:p>
          <w:p w14:paraId="10612514" w14:textId="77777777" w:rsidR="006A5009" w:rsidRPr="007E6A3F" w:rsidRDefault="006A5009" w:rsidP="00451FEB">
            <w:pPr>
              <w:pStyle w:val="TAC"/>
              <w:jc w:val="left"/>
              <w:rPr>
                <w:sz w:val="20"/>
              </w:rPr>
            </w:pPr>
          </w:p>
          <w:p w14:paraId="38923CDB" w14:textId="77777777" w:rsidR="00E46006" w:rsidRPr="007E6A3F" w:rsidRDefault="00E46006" w:rsidP="00451FEB">
            <w:pPr>
              <w:pStyle w:val="TAC"/>
              <w:jc w:val="left"/>
              <w:rPr>
                <w:b/>
                <w:sz w:val="20"/>
              </w:rPr>
            </w:pPr>
          </w:p>
        </w:tc>
        <w:tc>
          <w:tcPr>
            <w:tcW w:w="1576" w:type="dxa"/>
            <w:shd w:val="clear" w:color="auto" w:fill="auto"/>
          </w:tcPr>
          <w:p w14:paraId="5D356B68" w14:textId="77777777" w:rsidR="00E46006" w:rsidRDefault="00E46006" w:rsidP="00451FEB">
            <w:pPr>
              <w:pStyle w:val="TAC"/>
            </w:pPr>
          </w:p>
        </w:tc>
      </w:tr>
      <w:tr w:rsidR="00E46006" w14:paraId="38F49568" w14:textId="77777777" w:rsidTr="00451FEB">
        <w:tc>
          <w:tcPr>
            <w:tcW w:w="952" w:type="dxa"/>
            <w:shd w:val="clear" w:color="auto" w:fill="00FFFF"/>
          </w:tcPr>
          <w:p w14:paraId="250D6B75" w14:textId="77777777" w:rsidR="00E46006" w:rsidRDefault="00E46006" w:rsidP="00451FEB">
            <w:pPr>
              <w:pStyle w:val="TH"/>
            </w:pPr>
          </w:p>
        </w:tc>
        <w:tc>
          <w:tcPr>
            <w:tcW w:w="6534" w:type="dxa"/>
            <w:shd w:val="clear" w:color="auto" w:fill="00FFFF"/>
          </w:tcPr>
          <w:p w14:paraId="0EE02027" w14:textId="77777777" w:rsidR="00E46006" w:rsidRPr="007E6A3F" w:rsidRDefault="00E46006" w:rsidP="00451FEB">
            <w:pPr>
              <w:pStyle w:val="TH"/>
            </w:pPr>
            <w:r w:rsidRPr="007E6A3F">
              <w:t xml:space="preserve">Production of Report on </w:t>
            </w:r>
            <w:r w:rsidRPr="007E6A3F">
              <w:rPr>
                <w:rFonts w:cs="Arial"/>
                <w:b w:val="0"/>
                <w:lang w:val="en-US"/>
              </w:rPr>
              <w:t>Global Acceptance of EU Trust Services</w:t>
            </w:r>
          </w:p>
        </w:tc>
        <w:tc>
          <w:tcPr>
            <w:tcW w:w="1576" w:type="dxa"/>
            <w:shd w:val="clear" w:color="auto" w:fill="00FFFF"/>
          </w:tcPr>
          <w:p w14:paraId="473E37EF" w14:textId="77777777" w:rsidR="00E46006" w:rsidRDefault="00E46006" w:rsidP="00451FEB">
            <w:pPr>
              <w:pStyle w:val="TH"/>
            </w:pPr>
          </w:p>
        </w:tc>
      </w:tr>
      <w:tr w:rsidR="00E46006" w14:paraId="265F74B1" w14:textId="77777777" w:rsidTr="00451FEB">
        <w:tc>
          <w:tcPr>
            <w:tcW w:w="952" w:type="dxa"/>
            <w:shd w:val="clear" w:color="auto" w:fill="auto"/>
          </w:tcPr>
          <w:p w14:paraId="1A14787F" w14:textId="58EA4BC4" w:rsidR="00E46006" w:rsidRPr="00053FFD" w:rsidRDefault="009A1108" w:rsidP="00451FEB">
            <w:pPr>
              <w:pStyle w:val="TAC"/>
              <w:rPr>
                <w:lang w:val="en-US"/>
              </w:rPr>
            </w:pPr>
            <w:fldSimple w:instr=" SEQ TTASK \* MERGEFORMAT ">
              <w:r w:rsidR="006A5009">
                <w:rPr>
                  <w:noProof/>
                </w:rPr>
                <w:t>4</w:t>
              </w:r>
            </w:fldSimple>
          </w:p>
        </w:tc>
        <w:tc>
          <w:tcPr>
            <w:tcW w:w="6534" w:type="dxa"/>
            <w:shd w:val="clear" w:color="auto" w:fill="auto"/>
          </w:tcPr>
          <w:p w14:paraId="226E6FED" w14:textId="77777777" w:rsidR="00E46006" w:rsidRDefault="00E46006" w:rsidP="00451FEB">
            <w:pPr>
              <w:pStyle w:val="TAL"/>
              <w:rPr>
                <w:rFonts w:cs="Arial"/>
                <w:sz w:val="20"/>
                <w:lang w:val="en-US"/>
              </w:rPr>
            </w:pPr>
            <w:r w:rsidRPr="007E6A3F">
              <w:rPr>
                <w:b/>
                <w:sz w:val="20"/>
              </w:rPr>
              <w:t>Description</w:t>
            </w:r>
            <w:r w:rsidRPr="007E6A3F">
              <w:rPr>
                <w:rFonts w:cs="Arial"/>
                <w:sz w:val="20"/>
                <w:lang w:val="en-US"/>
              </w:rPr>
              <w:t>: The global PKI and other related trust schemes will be assessed against the EU standards EN 319 411-1 &amp; -2, EN 319 401, EN 319 403 and TS 119 612 to identify the relevant differences and identify opportunities to further steps which could be taken to increase European foothold in the global market for Trust Services.</w:t>
            </w:r>
          </w:p>
          <w:p w14:paraId="1E5F5F14" w14:textId="73B28392" w:rsidR="008207D1" w:rsidRPr="007E6A3F" w:rsidRDefault="008207D1" w:rsidP="00451FEB">
            <w:pPr>
              <w:pStyle w:val="TAL"/>
              <w:rPr>
                <w:rFonts w:cs="Arial"/>
                <w:sz w:val="20"/>
              </w:rPr>
            </w:pPr>
          </w:p>
        </w:tc>
        <w:tc>
          <w:tcPr>
            <w:tcW w:w="1576" w:type="dxa"/>
            <w:shd w:val="clear" w:color="auto" w:fill="auto"/>
          </w:tcPr>
          <w:p w14:paraId="4BCF4BEB" w14:textId="77777777" w:rsidR="00E46006" w:rsidRDefault="00E46006" w:rsidP="00451FEB">
            <w:pPr>
              <w:pStyle w:val="TAC"/>
            </w:pPr>
          </w:p>
          <w:p w14:paraId="6AA0656A" w14:textId="77777777" w:rsidR="00E46006" w:rsidRDefault="00E46006" w:rsidP="00451FEB">
            <w:pPr>
              <w:pStyle w:val="TAC"/>
            </w:pPr>
            <w:r>
              <w:rPr>
                <w:b/>
                <w:lang w:val="en-US"/>
              </w:rPr>
              <w:t>WI DTR/ESI-000123</w:t>
            </w:r>
          </w:p>
        </w:tc>
      </w:tr>
      <w:tr w:rsidR="00E46006" w14:paraId="260E3DEB" w14:textId="77777777" w:rsidTr="00451FEB">
        <w:tc>
          <w:tcPr>
            <w:tcW w:w="952" w:type="dxa"/>
            <w:shd w:val="clear" w:color="auto" w:fill="auto"/>
          </w:tcPr>
          <w:p w14:paraId="370C7455" w14:textId="77777777" w:rsidR="00E46006" w:rsidRDefault="00E46006" w:rsidP="00451FEB">
            <w:pPr>
              <w:pStyle w:val="TAC"/>
            </w:pPr>
          </w:p>
        </w:tc>
        <w:tc>
          <w:tcPr>
            <w:tcW w:w="6534" w:type="dxa"/>
            <w:shd w:val="clear" w:color="auto" w:fill="auto"/>
          </w:tcPr>
          <w:p w14:paraId="73D7A609" w14:textId="77777777" w:rsidR="00E46006" w:rsidRPr="007E6A3F" w:rsidRDefault="00E46006" w:rsidP="00451FEB">
            <w:pPr>
              <w:pStyle w:val="TAC"/>
              <w:jc w:val="left"/>
              <w:rPr>
                <w:b/>
                <w:sz w:val="20"/>
              </w:rPr>
            </w:pPr>
            <w:r w:rsidRPr="007E6A3F">
              <w:rPr>
                <w:b/>
                <w:sz w:val="20"/>
              </w:rPr>
              <w:t xml:space="preserve">Methodology: </w:t>
            </w:r>
          </w:p>
          <w:p w14:paraId="33099A36" w14:textId="77777777" w:rsidR="00E46006" w:rsidRPr="007E6A3F" w:rsidRDefault="00E46006" w:rsidP="00451FEB">
            <w:pPr>
              <w:pStyle w:val="TAC"/>
              <w:jc w:val="left"/>
              <w:rPr>
                <w:sz w:val="20"/>
              </w:rPr>
            </w:pPr>
            <w:r w:rsidRPr="007E6A3F">
              <w:rPr>
                <w:sz w:val="20"/>
              </w:rPr>
              <w:t xml:space="preserve">The STF will get in touch with all the other PKI related trust schemes and standards considered relevant to global acceptance of EU Trust Services to collect all the relevant information on the policies, conformity assessment procedures, and means of indicating trust status. Where considered appropriate individual members of the team will attend meetings or visit key personnel concerned with the relevant PKI schemes. </w:t>
            </w:r>
          </w:p>
          <w:p w14:paraId="126DD5AC" w14:textId="77777777" w:rsidR="00E46006" w:rsidRPr="007E6A3F" w:rsidRDefault="00E46006" w:rsidP="00451FEB">
            <w:pPr>
              <w:pStyle w:val="TAC"/>
              <w:jc w:val="left"/>
              <w:rPr>
                <w:sz w:val="20"/>
              </w:rPr>
            </w:pPr>
          </w:p>
          <w:p w14:paraId="1AAAE8F9" w14:textId="77777777" w:rsidR="00E46006" w:rsidRPr="007E6A3F" w:rsidRDefault="00E46006" w:rsidP="00451FEB">
            <w:pPr>
              <w:pStyle w:val="TAC"/>
              <w:jc w:val="left"/>
              <w:rPr>
                <w:sz w:val="20"/>
              </w:rPr>
            </w:pPr>
            <w:r w:rsidRPr="007E6A3F">
              <w:rPr>
                <w:sz w:val="20"/>
              </w:rPr>
              <w:t>Whilst centring on PKI related trust services the report will consider how the same approach could be applied to other trust services.</w:t>
            </w:r>
          </w:p>
          <w:p w14:paraId="29B868DB" w14:textId="77777777" w:rsidR="00E46006" w:rsidRPr="007E6A3F" w:rsidRDefault="00E46006" w:rsidP="00451FEB">
            <w:pPr>
              <w:pStyle w:val="TAC"/>
              <w:jc w:val="left"/>
              <w:rPr>
                <w:sz w:val="20"/>
              </w:rPr>
            </w:pPr>
          </w:p>
          <w:p w14:paraId="229B6F94" w14:textId="77777777" w:rsidR="00E46006" w:rsidRPr="007E6A3F" w:rsidRDefault="00E46006" w:rsidP="00451FEB">
            <w:pPr>
              <w:pStyle w:val="TAC"/>
              <w:jc w:val="left"/>
              <w:rPr>
                <w:sz w:val="20"/>
              </w:rPr>
            </w:pPr>
            <w:r w:rsidRPr="007E6A3F">
              <w:rPr>
                <w:sz w:val="20"/>
              </w:rPr>
              <w:t>The analysis will take account of the compatibility of the trust policy requirements for the different schemes, and also how the trust is managed for membership of the scheme whether by a form of trust list or other technique such as bridge certificate bridges or certificate transparency.</w:t>
            </w:r>
          </w:p>
          <w:p w14:paraId="40144853" w14:textId="77777777" w:rsidR="00E46006" w:rsidRPr="007E6A3F" w:rsidRDefault="00E46006" w:rsidP="00451FEB">
            <w:pPr>
              <w:pStyle w:val="TAC"/>
              <w:jc w:val="left"/>
              <w:rPr>
                <w:sz w:val="20"/>
              </w:rPr>
            </w:pPr>
          </w:p>
          <w:p w14:paraId="65275D89" w14:textId="77777777" w:rsidR="00E46006" w:rsidRPr="007E6A3F" w:rsidRDefault="00E46006" w:rsidP="00451FEB">
            <w:pPr>
              <w:pStyle w:val="TAL"/>
              <w:rPr>
                <w:rFonts w:cs="Arial"/>
                <w:sz w:val="20"/>
                <w:lang w:val="en-US"/>
              </w:rPr>
            </w:pPr>
            <w:r w:rsidRPr="007E6A3F">
              <w:rPr>
                <w:rFonts w:cs="Arial"/>
                <w:sz w:val="20"/>
                <w:lang w:val="en-US"/>
              </w:rPr>
              <w:t>The following PKI schemes and standards are considered probable targets:</w:t>
            </w:r>
          </w:p>
          <w:p w14:paraId="323C3241" w14:textId="77777777" w:rsidR="00E46006" w:rsidRPr="007E6A3F" w:rsidRDefault="00E46006" w:rsidP="00E46006">
            <w:pPr>
              <w:pStyle w:val="ListParagraph"/>
              <w:numPr>
                <w:ilvl w:val="0"/>
                <w:numId w:val="29"/>
              </w:numPr>
              <w:spacing w:after="240"/>
              <w:jc w:val="both"/>
              <w:rPr>
                <w:rFonts w:ascii="Arial" w:hAnsi="Arial" w:cs="Arial"/>
                <w:sz w:val="20"/>
              </w:rPr>
            </w:pPr>
            <w:r w:rsidRPr="007E6A3F">
              <w:rPr>
                <w:rFonts w:ascii="Arial" w:hAnsi="Arial" w:cs="Arial"/>
                <w:sz w:val="20"/>
              </w:rPr>
              <w:t>The CA/Browser forum</w:t>
            </w:r>
          </w:p>
          <w:p w14:paraId="4A60A727" w14:textId="77777777" w:rsidR="00E46006" w:rsidRPr="007E6A3F" w:rsidRDefault="00E46006" w:rsidP="00E46006">
            <w:pPr>
              <w:pStyle w:val="ListParagraph"/>
              <w:numPr>
                <w:ilvl w:val="0"/>
                <w:numId w:val="29"/>
              </w:numPr>
              <w:spacing w:after="240"/>
              <w:jc w:val="both"/>
              <w:rPr>
                <w:rFonts w:ascii="Arial" w:hAnsi="Arial" w:cs="Arial"/>
                <w:sz w:val="20"/>
              </w:rPr>
            </w:pPr>
            <w:r w:rsidRPr="007E6A3F">
              <w:rPr>
                <w:rFonts w:ascii="Arial" w:hAnsi="Arial" w:cs="Arial"/>
                <w:sz w:val="20"/>
              </w:rPr>
              <w:t>Root certificate programmes of global application providers such as  Mozilla, Google, Microsoft, Amazon, Adobe and Oracle</w:t>
            </w:r>
          </w:p>
          <w:p w14:paraId="78F95E34" w14:textId="77777777" w:rsidR="00E46006" w:rsidRPr="007E6A3F" w:rsidRDefault="00E46006" w:rsidP="00E46006">
            <w:pPr>
              <w:pStyle w:val="ListParagraph"/>
              <w:numPr>
                <w:ilvl w:val="0"/>
                <w:numId w:val="29"/>
              </w:numPr>
              <w:spacing w:after="240"/>
              <w:jc w:val="both"/>
              <w:rPr>
                <w:rFonts w:ascii="Arial" w:hAnsi="Arial" w:cs="Arial"/>
                <w:sz w:val="20"/>
              </w:rPr>
            </w:pPr>
            <w:r w:rsidRPr="007E6A3F">
              <w:rPr>
                <w:rFonts w:ascii="Arial" w:hAnsi="Arial" w:cs="Arial"/>
                <w:sz w:val="20"/>
              </w:rPr>
              <w:t xml:space="preserve">Sector specific global PKI such as </w:t>
            </w:r>
            <w:proofErr w:type="spellStart"/>
            <w:r w:rsidRPr="007E6A3F">
              <w:rPr>
                <w:rFonts w:ascii="Arial" w:hAnsi="Arial" w:cs="Arial"/>
                <w:sz w:val="20"/>
              </w:rPr>
              <w:t>SafeBiopharma</w:t>
            </w:r>
            <w:proofErr w:type="spellEnd"/>
          </w:p>
          <w:p w14:paraId="119FE555" w14:textId="77777777" w:rsidR="00E46006" w:rsidRPr="007E6A3F" w:rsidRDefault="00E46006" w:rsidP="00E46006">
            <w:pPr>
              <w:pStyle w:val="ListParagraph"/>
              <w:numPr>
                <w:ilvl w:val="0"/>
                <w:numId w:val="29"/>
              </w:numPr>
              <w:spacing w:after="240"/>
              <w:jc w:val="both"/>
              <w:rPr>
                <w:rFonts w:ascii="Arial" w:hAnsi="Arial" w:cs="Arial"/>
                <w:sz w:val="20"/>
              </w:rPr>
            </w:pPr>
            <w:r w:rsidRPr="007E6A3F">
              <w:rPr>
                <w:rFonts w:ascii="Arial" w:hAnsi="Arial" w:cs="Arial"/>
                <w:sz w:val="20"/>
              </w:rPr>
              <w:t>US federal PKI and associated programs such as National Strategy for Trusted Identities in Cyberspace (NSTIC)</w:t>
            </w:r>
          </w:p>
          <w:p w14:paraId="3E2DABD8" w14:textId="77777777" w:rsidR="00E46006" w:rsidRPr="007E6A3F" w:rsidRDefault="00E46006" w:rsidP="00E46006">
            <w:pPr>
              <w:pStyle w:val="ListParagraph"/>
              <w:numPr>
                <w:ilvl w:val="0"/>
                <w:numId w:val="29"/>
              </w:numPr>
              <w:spacing w:after="240"/>
              <w:jc w:val="both"/>
              <w:rPr>
                <w:rFonts w:ascii="Arial" w:hAnsi="Arial" w:cs="Arial"/>
                <w:sz w:val="20"/>
              </w:rPr>
            </w:pPr>
            <w:r w:rsidRPr="007E6A3F">
              <w:rPr>
                <w:rFonts w:ascii="Arial" w:hAnsi="Arial" w:cs="Arial"/>
                <w:sz w:val="20"/>
              </w:rPr>
              <w:t>Far eastern communities such as Asia PKI Consortium, Association of South East Asian Nations, Chinese Electronic Certification Services Systems, Japan Institute for Promotion of Digital Economy and Community</w:t>
            </w:r>
          </w:p>
          <w:p w14:paraId="79265F9F" w14:textId="77777777" w:rsidR="00E46006" w:rsidRPr="007E6A3F" w:rsidRDefault="00E46006" w:rsidP="00E46006">
            <w:pPr>
              <w:pStyle w:val="ListParagraph"/>
              <w:numPr>
                <w:ilvl w:val="0"/>
                <w:numId w:val="29"/>
              </w:numPr>
              <w:spacing w:after="240"/>
              <w:jc w:val="both"/>
              <w:rPr>
                <w:rFonts w:ascii="Arial" w:hAnsi="Arial" w:cs="Arial"/>
                <w:sz w:val="20"/>
              </w:rPr>
            </w:pPr>
            <w:r w:rsidRPr="007E6A3F">
              <w:rPr>
                <w:rFonts w:ascii="Arial" w:hAnsi="Arial" w:cs="Arial"/>
                <w:sz w:val="20"/>
              </w:rPr>
              <w:t xml:space="preserve">Arab PKI forum and other middle eastern communities </w:t>
            </w:r>
          </w:p>
          <w:p w14:paraId="502F5504" w14:textId="77777777" w:rsidR="00E46006" w:rsidRPr="007E6A3F" w:rsidRDefault="00E46006" w:rsidP="00E46006">
            <w:pPr>
              <w:pStyle w:val="ListParagraph"/>
              <w:numPr>
                <w:ilvl w:val="0"/>
                <w:numId w:val="29"/>
              </w:numPr>
              <w:spacing w:after="160" w:line="259" w:lineRule="auto"/>
              <w:rPr>
                <w:rFonts w:ascii="Arial" w:hAnsi="Arial" w:cs="Arial"/>
                <w:sz w:val="20"/>
              </w:rPr>
            </w:pPr>
            <w:r w:rsidRPr="007E6A3F">
              <w:rPr>
                <w:rFonts w:ascii="Arial" w:hAnsi="Arial" w:cs="Arial"/>
                <w:sz w:val="20"/>
              </w:rPr>
              <w:t>Common Market for Eastern and Southern Africa</w:t>
            </w:r>
          </w:p>
          <w:p w14:paraId="42DD56D7" w14:textId="77777777" w:rsidR="00E46006" w:rsidRPr="007E6A3F" w:rsidRDefault="00E46006" w:rsidP="00E46006">
            <w:pPr>
              <w:pStyle w:val="ListParagraph"/>
              <w:numPr>
                <w:ilvl w:val="0"/>
                <w:numId w:val="29"/>
              </w:numPr>
              <w:spacing w:after="160" w:line="259" w:lineRule="auto"/>
              <w:rPr>
                <w:rFonts w:ascii="Arial" w:hAnsi="Arial" w:cs="Arial"/>
                <w:sz w:val="20"/>
              </w:rPr>
            </w:pPr>
            <w:r w:rsidRPr="007E6A3F">
              <w:rPr>
                <w:rFonts w:ascii="Arial" w:hAnsi="Arial" w:cs="Arial"/>
                <w:sz w:val="20"/>
              </w:rPr>
              <w:t xml:space="preserve">ISO/IEC JTC1 SC 27 guidance on PKI service providers </w:t>
            </w:r>
          </w:p>
          <w:p w14:paraId="40594E85" w14:textId="77777777" w:rsidR="00E46006" w:rsidRPr="007E6A3F" w:rsidRDefault="00E46006" w:rsidP="00451FEB">
            <w:pPr>
              <w:pStyle w:val="TAC"/>
              <w:jc w:val="left"/>
              <w:rPr>
                <w:sz w:val="20"/>
              </w:rPr>
            </w:pPr>
            <w:r w:rsidRPr="007E6A3F">
              <w:rPr>
                <w:sz w:val="20"/>
              </w:rPr>
              <w:t>For each scheme the following information will be produced:</w:t>
            </w:r>
          </w:p>
          <w:p w14:paraId="3D262B0B" w14:textId="77777777" w:rsidR="00E46006" w:rsidRPr="007E6A3F" w:rsidRDefault="00E46006" w:rsidP="00E46006">
            <w:pPr>
              <w:pStyle w:val="TAC"/>
              <w:numPr>
                <w:ilvl w:val="0"/>
                <w:numId w:val="29"/>
              </w:numPr>
              <w:jc w:val="left"/>
              <w:rPr>
                <w:sz w:val="20"/>
              </w:rPr>
            </w:pPr>
            <w:r w:rsidRPr="007E6A3F">
              <w:rPr>
                <w:sz w:val="20"/>
              </w:rPr>
              <w:t>An overview of the scheme including the scope of and key features</w:t>
            </w:r>
          </w:p>
          <w:p w14:paraId="7C4E1FF5" w14:textId="77777777" w:rsidR="00E46006" w:rsidRPr="007E6A3F" w:rsidRDefault="00E46006" w:rsidP="00E46006">
            <w:pPr>
              <w:pStyle w:val="TAC"/>
              <w:numPr>
                <w:ilvl w:val="0"/>
                <w:numId w:val="29"/>
              </w:numPr>
              <w:jc w:val="left"/>
              <w:rPr>
                <w:sz w:val="20"/>
                <w:lang w:val="fr-FR"/>
              </w:rPr>
            </w:pPr>
            <w:r w:rsidRPr="007E6A3F">
              <w:rPr>
                <w:sz w:val="20"/>
                <w:lang w:val="fr-FR"/>
              </w:rPr>
              <w:t xml:space="preserve">Relationship </w:t>
            </w:r>
            <w:proofErr w:type="spellStart"/>
            <w:r w:rsidRPr="007E6A3F">
              <w:rPr>
                <w:sz w:val="20"/>
                <w:lang w:val="fr-FR"/>
              </w:rPr>
              <w:t>with</w:t>
            </w:r>
            <w:proofErr w:type="spellEnd"/>
            <w:r w:rsidRPr="007E6A3F">
              <w:rPr>
                <w:sz w:val="20"/>
                <w:lang w:val="fr-FR"/>
              </w:rPr>
              <w:t xml:space="preserve"> EU standards EN 319 411-1 &amp; -2, EN 319 401, EN 319 403 and TS 119 612</w:t>
            </w:r>
          </w:p>
          <w:p w14:paraId="5C2CE779" w14:textId="77777777" w:rsidR="00E46006" w:rsidRPr="007E6A3F" w:rsidRDefault="00E46006" w:rsidP="00E46006">
            <w:pPr>
              <w:pStyle w:val="TAC"/>
              <w:numPr>
                <w:ilvl w:val="0"/>
                <w:numId w:val="29"/>
              </w:numPr>
              <w:jc w:val="left"/>
              <w:rPr>
                <w:sz w:val="20"/>
              </w:rPr>
            </w:pPr>
            <w:r w:rsidRPr="007E6A3F">
              <w:rPr>
                <w:sz w:val="20"/>
              </w:rPr>
              <w:t>Main differences which impact acceptance of EU Trust Services</w:t>
            </w:r>
          </w:p>
          <w:p w14:paraId="41B8F555" w14:textId="77777777" w:rsidR="00E46006" w:rsidRPr="007E6A3F" w:rsidRDefault="00E46006" w:rsidP="00E46006">
            <w:pPr>
              <w:pStyle w:val="TAC"/>
              <w:numPr>
                <w:ilvl w:val="0"/>
                <w:numId w:val="29"/>
              </w:numPr>
              <w:jc w:val="left"/>
              <w:rPr>
                <w:sz w:val="20"/>
              </w:rPr>
            </w:pPr>
            <w:r w:rsidRPr="007E6A3F">
              <w:rPr>
                <w:sz w:val="20"/>
              </w:rPr>
              <w:t>Opportunities for increasing adoption of EU standards</w:t>
            </w:r>
          </w:p>
          <w:p w14:paraId="6FA898B0" w14:textId="77777777" w:rsidR="00E46006" w:rsidRPr="007E6A3F" w:rsidRDefault="00E46006" w:rsidP="00451FEB">
            <w:pPr>
              <w:pStyle w:val="TAC"/>
              <w:jc w:val="left"/>
              <w:rPr>
                <w:sz w:val="20"/>
              </w:rPr>
            </w:pPr>
          </w:p>
          <w:p w14:paraId="31F69DD6" w14:textId="74ED51A7" w:rsidR="00E46006" w:rsidRPr="007E6A3F" w:rsidRDefault="00E46006" w:rsidP="00451FEB">
            <w:pPr>
              <w:pStyle w:val="TAC"/>
              <w:jc w:val="left"/>
              <w:rPr>
                <w:sz w:val="20"/>
              </w:rPr>
            </w:pPr>
            <w:r w:rsidRPr="007E6A3F">
              <w:rPr>
                <w:b/>
                <w:sz w:val="20"/>
              </w:rPr>
              <w:t>Effort Required:</w:t>
            </w:r>
            <w:r w:rsidRPr="007E6A3F">
              <w:rPr>
                <w:sz w:val="20"/>
              </w:rPr>
              <w:t xml:space="preserve"> </w:t>
            </w:r>
            <w:r w:rsidR="00052A10" w:rsidRPr="00052A10">
              <w:rPr>
                <w:b/>
                <w:sz w:val="20"/>
              </w:rPr>
              <w:t>23 000 EUR</w:t>
            </w:r>
          </w:p>
          <w:p w14:paraId="5D11E4FF" w14:textId="77777777" w:rsidR="00E46006" w:rsidRPr="007E6A3F" w:rsidRDefault="00E46006" w:rsidP="00451FEB">
            <w:pPr>
              <w:pStyle w:val="TAC"/>
              <w:jc w:val="left"/>
              <w:rPr>
                <w:sz w:val="20"/>
              </w:rPr>
            </w:pPr>
          </w:p>
          <w:p w14:paraId="128AE4B4" w14:textId="77777777" w:rsidR="00E46006" w:rsidRPr="007E6A3F" w:rsidRDefault="00E46006" w:rsidP="00451FEB">
            <w:pPr>
              <w:pStyle w:val="TAC"/>
              <w:jc w:val="left"/>
              <w:rPr>
                <w:sz w:val="20"/>
              </w:rPr>
            </w:pPr>
            <w:r w:rsidRPr="007E6A3F">
              <w:rPr>
                <w:sz w:val="20"/>
              </w:rPr>
              <w:t>5 travels to international meetings anticipated to e.g. CAB Forum, Asia PKI Consortium, Arab PKI forum, ISO/IEC JTC1 SC27</w:t>
            </w:r>
          </w:p>
          <w:p w14:paraId="75748D9A" w14:textId="77777777" w:rsidR="00E46006" w:rsidRPr="007E6A3F" w:rsidRDefault="00E46006" w:rsidP="00451FEB">
            <w:pPr>
              <w:pStyle w:val="TAC"/>
              <w:jc w:val="left"/>
              <w:rPr>
                <w:sz w:val="20"/>
              </w:rPr>
            </w:pPr>
          </w:p>
          <w:p w14:paraId="13694057" w14:textId="77777777" w:rsidR="00E46006" w:rsidRPr="007E6A3F" w:rsidRDefault="00E46006" w:rsidP="00451FEB">
            <w:pPr>
              <w:pStyle w:val="TAC"/>
              <w:jc w:val="left"/>
              <w:rPr>
                <w:sz w:val="20"/>
              </w:rPr>
            </w:pPr>
            <w:r w:rsidRPr="007E6A3F">
              <w:rPr>
                <w:b/>
                <w:sz w:val="20"/>
              </w:rPr>
              <w:t>Intermediate and final Milestones:</w:t>
            </w:r>
          </w:p>
          <w:p w14:paraId="47D5F297" w14:textId="77777777" w:rsidR="00E46006" w:rsidRPr="007E6A3F" w:rsidRDefault="00E46006" w:rsidP="00451FEB">
            <w:pPr>
              <w:pStyle w:val="TAC"/>
              <w:ind w:left="708"/>
              <w:jc w:val="left"/>
              <w:rPr>
                <w:sz w:val="20"/>
              </w:rPr>
            </w:pPr>
            <w:r w:rsidRPr="007E6A3F">
              <w:rPr>
                <w:b/>
                <w:sz w:val="20"/>
              </w:rPr>
              <w:t>Start</w:t>
            </w:r>
            <w:r w:rsidRPr="007E6A3F">
              <w:rPr>
                <w:sz w:val="20"/>
              </w:rPr>
              <w:t>: Immediately after establishment of the project team</w:t>
            </w:r>
          </w:p>
          <w:p w14:paraId="75C87267" w14:textId="77777777" w:rsidR="00E46006" w:rsidRPr="007E6A3F" w:rsidRDefault="00E46006" w:rsidP="00451FEB">
            <w:pPr>
              <w:pStyle w:val="TAC"/>
              <w:ind w:left="708"/>
              <w:jc w:val="left"/>
              <w:rPr>
                <w:sz w:val="20"/>
              </w:rPr>
            </w:pPr>
            <w:r w:rsidRPr="007E6A3F">
              <w:rPr>
                <w:b/>
                <w:sz w:val="20"/>
              </w:rPr>
              <w:t>M4.1</w:t>
            </w:r>
            <w:r w:rsidRPr="007E6A3F">
              <w:rPr>
                <w:sz w:val="20"/>
              </w:rPr>
              <w:t>: Consolidated draft for ESI: end of T0 +6 months</w:t>
            </w:r>
          </w:p>
          <w:p w14:paraId="25D9DAAC" w14:textId="77777777" w:rsidR="00E46006" w:rsidRPr="007E6A3F" w:rsidRDefault="00E46006" w:rsidP="00451FEB">
            <w:pPr>
              <w:pStyle w:val="TAC"/>
              <w:ind w:left="708"/>
              <w:jc w:val="left"/>
              <w:rPr>
                <w:sz w:val="20"/>
              </w:rPr>
            </w:pPr>
            <w:r w:rsidRPr="007E6A3F">
              <w:rPr>
                <w:b/>
                <w:sz w:val="20"/>
              </w:rPr>
              <w:t>M4.2</w:t>
            </w:r>
            <w:r w:rsidRPr="007E6A3F">
              <w:rPr>
                <w:sz w:val="20"/>
              </w:rPr>
              <w:t>: Consolidated draft for public review: end of T0 +10 months</w:t>
            </w:r>
          </w:p>
          <w:p w14:paraId="31A6B8B3" w14:textId="77777777" w:rsidR="00E46006" w:rsidRPr="007E6A3F" w:rsidRDefault="00E46006" w:rsidP="00451FEB">
            <w:pPr>
              <w:pStyle w:val="TAC"/>
              <w:ind w:left="708"/>
              <w:jc w:val="left"/>
              <w:rPr>
                <w:sz w:val="20"/>
              </w:rPr>
            </w:pPr>
            <w:r w:rsidRPr="007E6A3F">
              <w:rPr>
                <w:b/>
                <w:sz w:val="20"/>
              </w:rPr>
              <w:t>M4.3</w:t>
            </w:r>
            <w:r w:rsidRPr="007E6A3F">
              <w:rPr>
                <w:sz w:val="20"/>
              </w:rPr>
              <w:t>: Final draft for ESI approval: end of T0 +13 months</w:t>
            </w:r>
          </w:p>
          <w:p w14:paraId="6408780D" w14:textId="77777777" w:rsidR="00E46006" w:rsidRPr="007E6A3F" w:rsidRDefault="00E46006" w:rsidP="00451FEB">
            <w:pPr>
              <w:pStyle w:val="TAC"/>
              <w:ind w:left="708"/>
              <w:jc w:val="left"/>
              <w:rPr>
                <w:sz w:val="20"/>
              </w:rPr>
            </w:pPr>
            <w:r w:rsidRPr="007E6A3F">
              <w:rPr>
                <w:b/>
                <w:sz w:val="20"/>
              </w:rPr>
              <w:t>M4.4:</w:t>
            </w:r>
            <w:r w:rsidRPr="007E6A3F">
              <w:rPr>
                <w:sz w:val="20"/>
              </w:rPr>
              <w:t xml:space="preserve"> TR published: end of T0 + 15 months</w:t>
            </w:r>
          </w:p>
          <w:p w14:paraId="33F28070" w14:textId="77777777" w:rsidR="00E46006" w:rsidRPr="007E6A3F" w:rsidRDefault="00E46006" w:rsidP="00451FEB">
            <w:pPr>
              <w:pStyle w:val="TAC"/>
              <w:jc w:val="left"/>
              <w:rPr>
                <w:sz w:val="20"/>
              </w:rPr>
            </w:pPr>
          </w:p>
          <w:p w14:paraId="793609DF" w14:textId="77777777" w:rsidR="00E46006" w:rsidRPr="007E6A3F" w:rsidRDefault="00E46006" w:rsidP="00451FEB">
            <w:pPr>
              <w:pStyle w:val="TAC"/>
              <w:jc w:val="left"/>
              <w:rPr>
                <w:b/>
                <w:sz w:val="20"/>
              </w:rPr>
            </w:pPr>
          </w:p>
        </w:tc>
        <w:tc>
          <w:tcPr>
            <w:tcW w:w="1576" w:type="dxa"/>
            <w:shd w:val="clear" w:color="auto" w:fill="auto"/>
          </w:tcPr>
          <w:p w14:paraId="2925B144" w14:textId="77777777" w:rsidR="00E46006" w:rsidRDefault="00E46006" w:rsidP="00451FEB">
            <w:pPr>
              <w:pStyle w:val="TAC"/>
            </w:pPr>
          </w:p>
        </w:tc>
      </w:tr>
      <w:tr w:rsidR="00E46006" w14:paraId="5B42FBFB" w14:textId="77777777" w:rsidTr="00451FEB">
        <w:tc>
          <w:tcPr>
            <w:tcW w:w="952" w:type="dxa"/>
            <w:shd w:val="clear" w:color="auto" w:fill="00FFFF"/>
          </w:tcPr>
          <w:p w14:paraId="0B6A2D67" w14:textId="77777777" w:rsidR="00E46006" w:rsidRDefault="00E46006" w:rsidP="00451FEB">
            <w:pPr>
              <w:pStyle w:val="TH"/>
            </w:pPr>
          </w:p>
        </w:tc>
        <w:tc>
          <w:tcPr>
            <w:tcW w:w="6534" w:type="dxa"/>
            <w:shd w:val="clear" w:color="auto" w:fill="00FFFF"/>
          </w:tcPr>
          <w:p w14:paraId="035C7168" w14:textId="77777777" w:rsidR="00E46006" w:rsidRPr="00373633" w:rsidRDefault="00E46006" w:rsidP="00451FEB">
            <w:pPr>
              <w:pStyle w:val="TH"/>
            </w:pPr>
            <w:r w:rsidRPr="006F17BF">
              <w:rPr>
                <w:rFonts w:cs="Arial"/>
                <w:b w:val="0"/>
                <w:sz w:val="18"/>
                <w:szCs w:val="18"/>
              </w:rPr>
              <w:t>International workshop</w:t>
            </w:r>
            <w:r>
              <w:rPr>
                <w:rFonts w:cs="Arial"/>
                <w:b w:val="0"/>
                <w:sz w:val="18"/>
                <w:szCs w:val="18"/>
              </w:rPr>
              <w:t>s</w:t>
            </w:r>
            <w:r w:rsidRPr="006F17BF">
              <w:rPr>
                <w:rFonts w:cs="Arial"/>
                <w:b w:val="0"/>
                <w:sz w:val="18"/>
                <w:szCs w:val="18"/>
              </w:rPr>
              <w:t xml:space="preserve"> on global acceptance of EU Trust Se</w:t>
            </w:r>
            <w:r w:rsidRPr="001552EE">
              <w:rPr>
                <w:rFonts w:cs="Arial"/>
                <w:b w:val="0"/>
                <w:sz w:val="18"/>
                <w:szCs w:val="18"/>
              </w:rPr>
              <w:t>rvices</w:t>
            </w:r>
          </w:p>
        </w:tc>
        <w:tc>
          <w:tcPr>
            <w:tcW w:w="1576" w:type="dxa"/>
            <w:shd w:val="clear" w:color="auto" w:fill="00FFFF"/>
          </w:tcPr>
          <w:p w14:paraId="0C7763F9" w14:textId="77777777" w:rsidR="00E46006" w:rsidRDefault="00E46006" w:rsidP="00451FEB">
            <w:pPr>
              <w:pStyle w:val="TH"/>
            </w:pPr>
          </w:p>
        </w:tc>
      </w:tr>
      <w:tr w:rsidR="00E46006" w14:paraId="0E8D3BC0" w14:textId="77777777" w:rsidTr="00451FEB">
        <w:tc>
          <w:tcPr>
            <w:tcW w:w="952" w:type="dxa"/>
            <w:shd w:val="clear" w:color="auto" w:fill="auto"/>
          </w:tcPr>
          <w:p w14:paraId="33C9B2B0" w14:textId="77777777" w:rsidR="00E46006" w:rsidRPr="00053FFD" w:rsidRDefault="00E46006" w:rsidP="00451FEB">
            <w:pPr>
              <w:pStyle w:val="TAC"/>
              <w:rPr>
                <w:lang w:val="en-US"/>
              </w:rPr>
            </w:pPr>
            <w:r>
              <w:t>5</w:t>
            </w:r>
          </w:p>
        </w:tc>
        <w:tc>
          <w:tcPr>
            <w:tcW w:w="6534" w:type="dxa"/>
            <w:shd w:val="clear" w:color="auto" w:fill="auto"/>
          </w:tcPr>
          <w:p w14:paraId="5BD8CFFE" w14:textId="77777777" w:rsidR="00E46006" w:rsidRPr="007E6A3F" w:rsidRDefault="00E46006" w:rsidP="00451FEB">
            <w:pPr>
              <w:pStyle w:val="TAL"/>
              <w:rPr>
                <w:rFonts w:cs="Arial"/>
                <w:sz w:val="20"/>
              </w:rPr>
            </w:pPr>
            <w:r w:rsidRPr="007E6A3F">
              <w:rPr>
                <w:rFonts w:cs="Arial"/>
                <w:sz w:val="20"/>
              </w:rPr>
              <w:t xml:space="preserve">Three internationally based workshops with EU stakeholders and representatives of interests in global PKI schemes will be organised in conjunctions with representatives of the most relevant PKI schemes. One workshop will be held in US, another in Japan and the third one in hosted by ETSI for Middle East and other non-EU countries in the EMEA region where a number of the key stakeholders in global PKI market are based.  </w:t>
            </w:r>
          </w:p>
          <w:p w14:paraId="27B03D1C" w14:textId="77777777" w:rsidR="00E46006" w:rsidRPr="007E6A3F" w:rsidRDefault="00E46006" w:rsidP="00451FEB">
            <w:pPr>
              <w:pStyle w:val="TAL"/>
              <w:rPr>
                <w:rFonts w:cs="Arial"/>
                <w:sz w:val="20"/>
              </w:rPr>
            </w:pPr>
          </w:p>
          <w:p w14:paraId="2F251BFC" w14:textId="77777777" w:rsidR="00E46006" w:rsidRPr="007E6A3F" w:rsidRDefault="00E46006" w:rsidP="00451FEB">
            <w:pPr>
              <w:pStyle w:val="TAL"/>
              <w:rPr>
                <w:rFonts w:cs="Arial"/>
                <w:sz w:val="20"/>
              </w:rPr>
            </w:pPr>
            <w:r w:rsidRPr="007E6A3F">
              <w:rPr>
                <w:rFonts w:cs="Arial"/>
                <w:sz w:val="20"/>
              </w:rPr>
              <w:t>A report will be produced following each workshop.</w:t>
            </w:r>
          </w:p>
        </w:tc>
        <w:tc>
          <w:tcPr>
            <w:tcW w:w="1576" w:type="dxa"/>
            <w:shd w:val="clear" w:color="auto" w:fill="auto"/>
          </w:tcPr>
          <w:p w14:paraId="3DAF70F5" w14:textId="77777777" w:rsidR="00E46006" w:rsidRDefault="00E46006" w:rsidP="00451FEB">
            <w:pPr>
              <w:pStyle w:val="TAC"/>
            </w:pPr>
            <w:r>
              <w:t>International Workshops</w:t>
            </w:r>
          </w:p>
        </w:tc>
      </w:tr>
      <w:tr w:rsidR="00E46006" w14:paraId="07291C08" w14:textId="77777777" w:rsidTr="00451FEB">
        <w:tc>
          <w:tcPr>
            <w:tcW w:w="952" w:type="dxa"/>
            <w:shd w:val="clear" w:color="auto" w:fill="auto"/>
          </w:tcPr>
          <w:p w14:paraId="5B39F8EF" w14:textId="77777777" w:rsidR="00E46006" w:rsidRDefault="00E46006" w:rsidP="00451FEB">
            <w:pPr>
              <w:pStyle w:val="TAC"/>
            </w:pPr>
          </w:p>
        </w:tc>
        <w:tc>
          <w:tcPr>
            <w:tcW w:w="6534" w:type="dxa"/>
            <w:shd w:val="clear" w:color="auto" w:fill="auto"/>
          </w:tcPr>
          <w:p w14:paraId="5A0FCDE7" w14:textId="77777777" w:rsidR="00E46006" w:rsidRPr="007E6A3F" w:rsidRDefault="00E46006" w:rsidP="00451FEB">
            <w:pPr>
              <w:pStyle w:val="TAC"/>
              <w:jc w:val="left"/>
              <w:rPr>
                <w:b/>
                <w:sz w:val="20"/>
              </w:rPr>
            </w:pPr>
            <w:r w:rsidRPr="007E6A3F">
              <w:rPr>
                <w:b/>
                <w:sz w:val="20"/>
              </w:rPr>
              <w:t xml:space="preserve">Methodology: </w:t>
            </w:r>
          </w:p>
          <w:p w14:paraId="2B5AF208" w14:textId="77777777" w:rsidR="00E46006" w:rsidRPr="007E6A3F" w:rsidRDefault="00E46006" w:rsidP="00451FEB">
            <w:pPr>
              <w:pStyle w:val="TAC"/>
              <w:jc w:val="left"/>
              <w:rPr>
                <w:sz w:val="20"/>
              </w:rPr>
            </w:pPr>
            <w:r w:rsidRPr="007E6A3F">
              <w:rPr>
                <w:sz w:val="20"/>
              </w:rPr>
              <w:t>The workshops will be organised by the STF members. The agenda and scheduling will be agreed with representative of the PKI schemes considered most relevant.</w:t>
            </w:r>
          </w:p>
          <w:p w14:paraId="5B03F1F3" w14:textId="77777777" w:rsidR="00E46006" w:rsidRPr="007E6A3F" w:rsidRDefault="00E46006" w:rsidP="00451FEB">
            <w:pPr>
              <w:pStyle w:val="TAC"/>
              <w:jc w:val="left"/>
              <w:rPr>
                <w:sz w:val="20"/>
              </w:rPr>
            </w:pPr>
          </w:p>
          <w:p w14:paraId="4165D756" w14:textId="77777777" w:rsidR="00E46006" w:rsidRPr="007E6A3F" w:rsidRDefault="00E46006" w:rsidP="00451FEB">
            <w:pPr>
              <w:pStyle w:val="TAC"/>
              <w:jc w:val="left"/>
              <w:rPr>
                <w:sz w:val="20"/>
              </w:rPr>
            </w:pPr>
            <w:r w:rsidRPr="007E6A3F">
              <w:rPr>
                <w:sz w:val="20"/>
              </w:rPr>
              <w:t>Expect number of attendees per workshop: 100 attendees</w:t>
            </w:r>
          </w:p>
          <w:p w14:paraId="7B02D2D5" w14:textId="77777777" w:rsidR="00E46006" w:rsidRPr="007E6A3F" w:rsidRDefault="00E46006" w:rsidP="00451FEB">
            <w:pPr>
              <w:pStyle w:val="TAC"/>
              <w:jc w:val="left"/>
              <w:rPr>
                <w:sz w:val="20"/>
              </w:rPr>
            </w:pPr>
          </w:p>
          <w:p w14:paraId="365F385B" w14:textId="55880424" w:rsidR="00E46006" w:rsidRPr="007E6A3F" w:rsidRDefault="00E46006" w:rsidP="00451FEB">
            <w:pPr>
              <w:pStyle w:val="TAC"/>
              <w:jc w:val="left"/>
              <w:rPr>
                <w:sz w:val="20"/>
              </w:rPr>
            </w:pPr>
            <w:r w:rsidRPr="007E6A3F">
              <w:rPr>
                <w:b/>
                <w:sz w:val="20"/>
              </w:rPr>
              <w:t>Effort Required:</w:t>
            </w:r>
            <w:r w:rsidRPr="007E6A3F">
              <w:rPr>
                <w:sz w:val="20"/>
              </w:rPr>
              <w:t xml:space="preserve"> </w:t>
            </w:r>
            <w:r w:rsidR="00052A10" w:rsidRPr="00052A10">
              <w:rPr>
                <w:b/>
                <w:sz w:val="20"/>
              </w:rPr>
              <w:t>12 000 EUR</w:t>
            </w:r>
            <w:r w:rsidRPr="007E6A3F">
              <w:rPr>
                <w:sz w:val="20"/>
              </w:rPr>
              <w:t xml:space="preserve"> </w:t>
            </w:r>
          </w:p>
          <w:p w14:paraId="7E01C203" w14:textId="77777777" w:rsidR="00E46006" w:rsidRPr="007E6A3F" w:rsidRDefault="00E46006" w:rsidP="00451FEB">
            <w:pPr>
              <w:pStyle w:val="TAC"/>
              <w:jc w:val="left"/>
              <w:rPr>
                <w:sz w:val="20"/>
              </w:rPr>
            </w:pPr>
          </w:p>
          <w:p w14:paraId="247CEDD2" w14:textId="77777777" w:rsidR="00E46006" w:rsidRPr="007E6A3F" w:rsidRDefault="00E46006" w:rsidP="00451FEB">
            <w:pPr>
              <w:pStyle w:val="TAC"/>
              <w:jc w:val="left"/>
              <w:rPr>
                <w:sz w:val="20"/>
              </w:rPr>
            </w:pPr>
            <w:r w:rsidRPr="007E6A3F">
              <w:rPr>
                <w:sz w:val="20"/>
              </w:rPr>
              <w:t>3 expert travel to US</w:t>
            </w:r>
          </w:p>
          <w:p w14:paraId="67BC4729" w14:textId="77777777" w:rsidR="00E46006" w:rsidRPr="007E6A3F" w:rsidRDefault="00E46006" w:rsidP="00451FEB">
            <w:pPr>
              <w:pStyle w:val="TAC"/>
              <w:jc w:val="left"/>
              <w:rPr>
                <w:sz w:val="20"/>
              </w:rPr>
            </w:pPr>
            <w:r w:rsidRPr="007E6A3F">
              <w:rPr>
                <w:sz w:val="20"/>
              </w:rPr>
              <w:t>3 expert travel to Southern Europe or Middle East</w:t>
            </w:r>
          </w:p>
          <w:p w14:paraId="3D02E0BD" w14:textId="77777777" w:rsidR="00E46006" w:rsidRPr="007E6A3F" w:rsidRDefault="00E46006" w:rsidP="00451FEB">
            <w:pPr>
              <w:pStyle w:val="TAC"/>
              <w:jc w:val="left"/>
              <w:rPr>
                <w:sz w:val="20"/>
              </w:rPr>
            </w:pPr>
            <w:r w:rsidRPr="007E6A3F">
              <w:rPr>
                <w:sz w:val="20"/>
              </w:rPr>
              <w:t>3 expert travel to Japan</w:t>
            </w:r>
          </w:p>
          <w:p w14:paraId="32747B44" w14:textId="77777777" w:rsidR="00E46006" w:rsidRPr="007E6A3F" w:rsidRDefault="00E46006" w:rsidP="00451FEB">
            <w:pPr>
              <w:pStyle w:val="TAC"/>
              <w:jc w:val="left"/>
              <w:rPr>
                <w:sz w:val="20"/>
              </w:rPr>
            </w:pPr>
          </w:p>
          <w:p w14:paraId="39A9B9EB" w14:textId="77777777" w:rsidR="00E46006" w:rsidRPr="007E6A3F" w:rsidRDefault="00E46006" w:rsidP="00451FEB">
            <w:pPr>
              <w:pStyle w:val="TAC"/>
              <w:jc w:val="left"/>
              <w:rPr>
                <w:sz w:val="20"/>
              </w:rPr>
            </w:pPr>
            <w:r w:rsidRPr="007E6A3F">
              <w:rPr>
                <w:sz w:val="20"/>
              </w:rPr>
              <w:t>Subcontracting costs for the 3 workshops: 15,000€ * 3 for organising and hosting costs including room, catering, promotional material, etc.</w:t>
            </w:r>
          </w:p>
          <w:p w14:paraId="3F4E3A86" w14:textId="77777777" w:rsidR="00E46006" w:rsidRPr="007E6A3F" w:rsidRDefault="00E46006" w:rsidP="00451FEB">
            <w:pPr>
              <w:pStyle w:val="TAC"/>
              <w:jc w:val="left"/>
              <w:rPr>
                <w:sz w:val="20"/>
              </w:rPr>
            </w:pPr>
          </w:p>
          <w:p w14:paraId="3727EB77" w14:textId="77777777" w:rsidR="00E46006" w:rsidRPr="007E6A3F" w:rsidRDefault="00E46006" w:rsidP="00451FEB">
            <w:pPr>
              <w:pStyle w:val="TAC"/>
              <w:jc w:val="left"/>
              <w:rPr>
                <w:sz w:val="20"/>
              </w:rPr>
            </w:pPr>
            <w:r w:rsidRPr="007E6A3F">
              <w:rPr>
                <w:b/>
                <w:sz w:val="20"/>
              </w:rPr>
              <w:t>Intermediate and final Milestones:</w:t>
            </w:r>
          </w:p>
          <w:p w14:paraId="11810455" w14:textId="77777777" w:rsidR="00E46006" w:rsidRPr="007E6A3F" w:rsidRDefault="00E46006" w:rsidP="00451FEB">
            <w:pPr>
              <w:pStyle w:val="TAC"/>
              <w:ind w:left="708"/>
              <w:jc w:val="left"/>
              <w:rPr>
                <w:sz w:val="20"/>
              </w:rPr>
            </w:pPr>
            <w:r w:rsidRPr="007E6A3F">
              <w:rPr>
                <w:b/>
                <w:sz w:val="20"/>
              </w:rPr>
              <w:t>Start</w:t>
            </w:r>
            <w:r w:rsidRPr="007E6A3F">
              <w:rPr>
                <w:sz w:val="20"/>
              </w:rPr>
              <w:t>: Immediately after establishment of the project team</w:t>
            </w:r>
          </w:p>
          <w:p w14:paraId="1D8FEB07" w14:textId="77777777" w:rsidR="00E46006" w:rsidRPr="007E6A3F" w:rsidRDefault="00E46006" w:rsidP="00451FEB">
            <w:pPr>
              <w:pStyle w:val="TAC"/>
              <w:ind w:left="708"/>
              <w:jc w:val="left"/>
              <w:rPr>
                <w:sz w:val="20"/>
              </w:rPr>
            </w:pPr>
            <w:r w:rsidRPr="007E6A3F">
              <w:rPr>
                <w:b/>
                <w:sz w:val="20"/>
              </w:rPr>
              <w:t>M5.1</w:t>
            </w:r>
            <w:r w:rsidRPr="007E6A3F">
              <w:rPr>
                <w:sz w:val="20"/>
              </w:rPr>
              <w:t>: Consolidated draft of supporting material: end of T0 +6 months</w:t>
            </w:r>
          </w:p>
          <w:p w14:paraId="35381D39" w14:textId="77777777" w:rsidR="00E46006" w:rsidRPr="007E6A3F" w:rsidRDefault="00E46006" w:rsidP="00451FEB">
            <w:pPr>
              <w:pStyle w:val="TAC"/>
              <w:ind w:left="708"/>
              <w:jc w:val="left"/>
              <w:rPr>
                <w:sz w:val="20"/>
              </w:rPr>
            </w:pPr>
            <w:r w:rsidRPr="007E6A3F">
              <w:rPr>
                <w:b/>
                <w:sz w:val="20"/>
              </w:rPr>
              <w:t>M5.2</w:t>
            </w:r>
            <w:r w:rsidRPr="007E6A3F">
              <w:rPr>
                <w:sz w:val="20"/>
              </w:rPr>
              <w:t>: Workshops: between T0+6 months and T0+16 months (approximate)</w:t>
            </w:r>
          </w:p>
          <w:p w14:paraId="44C5D798" w14:textId="77777777" w:rsidR="00E46006" w:rsidRPr="007E6A3F" w:rsidRDefault="00E46006" w:rsidP="00451FEB">
            <w:pPr>
              <w:pStyle w:val="TAC"/>
              <w:ind w:left="708"/>
              <w:jc w:val="left"/>
              <w:rPr>
                <w:sz w:val="20"/>
              </w:rPr>
            </w:pPr>
            <w:r w:rsidRPr="007E6A3F">
              <w:rPr>
                <w:b/>
                <w:sz w:val="20"/>
              </w:rPr>
              <w:t>M5.3</w:t>
            </w:r>
            <w:r w:rsidRPr="007E6A3F">
              <w:rPr>
                <w:sz w:val="20"/>
              </w:rPr>
              <w:t>: Reports on Workshops and further recommendations</w:t>
            </w:r>
          </w:p>
          <w:p w14:paraId="74ECAB6C" w14:textId="77777777" w:rsidR="00E46006" w:rsidRPr="007E6A3F" w:rsidRDefault="00E46006" w:rsidP="00451FEB">
            <w:pPr>
              <w:pStyle w:val="TAC"/>
              <w:ind w:left="708"/>
              <w:jc w:val="left"/>
              <w:rPr>
                <w:sz w:val="20"/>
              </w:rPr>
            </w:pPr>
          </w:p>
          <w:p w14:paraId="367939D5" w14:textId="77777777" w:rsidR="00E46006" w:rsidRPr="007E6A3F" w:rsidRDefault="00E46006" w:rsidP="00451FEB">
            <w:pPr>
              <w:pStyle w:val="TAC"/>
              <w:jc w:val="left"/>
              <w:rPr>
                <w:sz w:val="20"/>
              </w:rPr>
            </w:pPr>
          </w:p>
          <w:p w14:paraId="63AC73EC" w14:textId="77777777" w:rsidR="00E46006" w:rsidRPr="007E6A3F" w:rsidRDefault="00E46006" w:rsidP="00451FEB">
            <w:pPr>
              <w:pStyle w:val="TAC"/>
              <w:jc w:val="left"/>
              <w:rPr>
                <w:b/>
                <w:sz w:val="20"/>
              </w:rPr>
            </w:pPr>
          </w:p>
        </w:tc>
        <w:tc>
          <w:tcPr>
            <w:tcW w:w="1576" w:type="dxa"/>
            <w:shd w:val="clear" w:color="auto" w:fill="auto"/>
          </w:tcPr>
          <w:p w14:paraId="69E812E0" w14:textId="77777777" w:rsidR="00E46006" w:rsidRDefault="00E46006" w:rsidP="00451FEB">
            <w:pPr>
              <w:pStyle w:val="TAC"/>
            </w:pPr>
          </w:p>
        </w:tc>
      </w:tr>
    </w:tbl>
    <w:p w14:paraId="4F250DA9" w14:textId="77777777" w:rsidR="00E46006" w:rsidRDefault="00E46006" w:rsidP="00E46006">
      <w:pPr>
        <w:jc w:val="left"/>
        <w:sectPr w:rsidR="00E46006" w:rsidSect="00052A10">
          <w:headerReference w:type="default" r:id="rId13"/>
          <w:type w:val="continuous"/>
          <w:pgSz w:w="11906" w:h="16838"/>
          <w:pgMar w:top="1417" w:right="1417" w:bottom="1417" w:left="1417" w:header="708" w:footer="590" w:gutter="0"/>
          <w:cols w:space="708"/>
          <w:titlePg/>
          <w:docGrid w:linePitch="360"/>
        </w:sectPr>
      </w:pPr>
    </w:p>
    <w:p w14:paraId="5B89F36B" w14:textId="77777777" w:rsidR="00E46006" w:rsidRDefault="00E46006" w:rsidP="00E46006">
      <w:pPr>
        <w:jc w:val="left"/>
      </w:pPr>
    </w:p>
    <w:p w14:paraId="564C46B5" w14:textId="7073CEE3" w:rsidR="00E46006" w:rsidRDefault="00E46006" w:rsidP="00E46006">
      <w:pPr>
        <w:pStyle w:val="TAH"/>
      </w:pPr>
      <w:r>
        <w:t xml:space="preserve">Table </w:t>
      </w:r>
      <w:fldSimple w:instr=" SEQ TAB \* MERGEFORMAT ">
        <w:r w:rsidR="006A5009">
          <w:rPr>
            <w:noProof/>
          </w:rPr>
          <w:t>4</w:t>
        </w:r>
      </w:fldSimple>
      <w:r>
        <w:t>: Calendar for tasks and milestones</w:t>
      </w:r>
    </w:p>
    <w:p w14:paraId="47416ABD" w14:textId="77777777" w:rsidR="00E46006" w:rsidRDefault="00E46006" w:rsidP="00E46006">
      <w:pPr>
        <w:pStyle w:val="TAH"/>
      </w:pPr>
    </w:p>
    <w:tbl>
      <w:tblPr>
        <w:tblW w:w="14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631"/>
        <w:gridCol w:w="702"/>
        <w:gridCol w:w="702"/>
        <w:gridCol w:w="703"/>
        <w:gridCol w:w="703"/>
        <w:gridCol w:w="703"/>
        <w:gridCol w:w="703"/>
        <w:gridCol w:w="703"/>
        <w:gridCol w:w="703"/>
        <w:gridCol w:w="703"/>
        <w:gridCol w:w="703"/>
        <w:gridCol w:w="703"/>
        <w:gridCol w:w="703"/>
        <w:gridCol w:w="703"/>
        <w:gridCol w:w="703"/>
        <w:gridCol w:w="703"/>
        <w:gridCol w:w="703"/>
        <w:gridCol w:w="703"/>
        <w:gridCol w:w="703"/>
      </w:tblGrid>
      <w:tr w:rsidR="00E46006" w14:paraId="527A7F0C" w14:textId="77777777" w:rsidTr="007E6A3F">
        <w:tc>
          <w:tcPr>
            <w:tcW w:w="988" w:type="dxa"/>
            <w:shd w:val="clear" w:color="auto" w:fill="BDD6EE" w:themeFill="accent1" w:themeFillTint="66"/>
          </w:tcPr>
          <w:p w14:paraId="33A8BE76" w14:textId="77777777" w:rsidR="00E46006" w:rsidRDefault="00E46006" w:rsidP="00451FEB">
            <w:pPr>
              <w:pStyle w:val="TAH"/>
            </w:pPr>
            <w:r>
              <w:t>Task</w:t>
            </w:r>
          </w:p>
        </w:tc>
        <w:tc>
          <w:tcPr>
            <w:tcW w:w="631" w:type="dxa"/>
            <w:tcBorders>
              <w:bottom w:val="single" w:sz="4" w:space="0" w:color="000000"/>
            </w:tcBorders>
            <w:shd w:val="clear" w:color="auto" w:fill="BDD6EE" w:themeFill="accent1" w:themeFillTint="66"/>
          </w:tcPr>
          <w:p w14:paraId="6B9F7AA0" w14:textId="77777777" w:rsidR="00E46006" w:rsidRDefault="00E46006" w:rsidP="00451FEB">
            <w:pPr>
              <w:pStyle w:val="TAH"/>
            </w:pPr>
            <w:r>
              <w:t>T0</w:t>
            </w:r>
          </w:p>
        </w:tc>
        <w:tc>
          <w:tcPr>
            <w:tcW w:w="702" w:type="dxa"/>
            <w:tcBorders>
              <w:bottom w:val="single" w:sz="4" w:space="0" w:color="000000"/>
            </w:tcBorders>
            <w:shd w:val="clear" w:color="auto" w:fill="BDD6EE" w:themeFill="accent1" w:themeFillTint="66"/>
          </w:tcPr>
          <w:p w14:paraId="60302A15" w14:textId="6D7D35D7" w:rsidR="00E46006" w:rsidRDefault="00E46006" w:rsidP="00451FEB">
            <w:pPr>
              <w:pStyle w:val="TAH"/>
            </w:pPr>
            <w:r>
              <w:t>+</w:t>
            </w:r>
            <w:fldSimple w:instr=" SEQ month \* MERGEFORMAT ">
              <w:r w:rsidR="006A5009">
                <w:rPr>
                  <w:noProof/>
                </w:rPr>
                <w:t>1</w:t>
              </w:r>
            </w:fldSimple>
          </w:p>
        </w:tc>
        <w:tc>
          <w:tcPr>
            <w:tcW w:w="702" w:type="dxa"/>
            <w:tcBorders>
              <w:bottom w:val="single" w:sz="4" w:space="0" w:color="000000"/>
            </w:tcBorders>
            <w:shd w:val="clear" w:color="auto" w:fill="BDD6EE" w:themeFill="accent1" w:themeFillTint="66"/>
          </w:tcPr>
          <w:p w14:paraId="32CB5F71" w14:textId="20BEDA9F" w:rsidR="00E46006" w:rsidRDefault="00E46006" w:rsidP="00451FEB">
            <w:pPr>
              <w:pStyle w:val="TAH"/>
            </w:pPr>
            <w:r>
              <w:t>+</w:t>
            </w:r>
            <w:fldSimple w:instr=" SEQ month \* MERGEFORMAT ">
              <w:r w:rsidR="006A5009">
                <w:rPr>
                  <w:noProof/>
                </w:rPr>
                <w:t>2</w:t>
              </w:r>
            </w:fldSimple>
          </w:p>
        </w:tc>
        <w:tc>
          <w:tcPr>
            <w:tcW w:w="703" w:type="dxa"/>
            <w:tcBorders>
              <w:bottom w:val="single" w:sz="4" w:space="0" w:color="000000"/>
            </w:tcBorders>
            <w:shd w:val="clear" w:color="auto" w:fill="BDD6EE" w:themeFill="accent1" w:themeFillTint="66"/>
          </w:tcPr>
          <w:p w14:paraId="3F193689" w14:textId="2932882D" w:rsidR="00E46006" w:rsidRDefault="00E46006" w:rsidP="00451FEB">
            <w:pPr>
              <w:pStyle w:val="TAH"/>
            </w:pPr>
            <w:r>
              <w:t>+</w:t>
            </w:r>
            <w:fldSimple w:instr=" SEQ month \* MERGEFORMAT ">
              <w:r w:rsidR="006A5009">
                <w:rPr>
                  <w:noProof/>
                </w:rPr>
                <w:t>3</w:t>
              </w:r>
            </w:fldSimple>
          </w:p>
        </w:tc>
        <w:tc>
          <w:tcPr>
            <w:tcW w:w="703" w:type="dxa"/>
            <w:tcBorders>
              <w:bottom w:val="single" w:sz="4" w:space="0" w:color="000000"/>
            </w:tcBorders>
            <w:shd w:val="clear" w:color="auto" w:fill="BDD6EE" w:themeFill="accent1" w:themeFillTint="66"/>
          </w:tcPr>
          <w:p w14:paraId="454E005C" w14:textId="743C7821" w:rsidR="00E46006" w:rsidRDefault="00E46006" w:rsidP="00451FEB">
            <w:pPr>
              <w:pStyle w:val="TAH"/>
            </w:pPr>
            <w:r>
              <w:t>+</w:t>
            </w:r>
            <w:fldSimple w:instr=" SEQ month \* MERGEFORMAT ">
              <w:r w:rsidR="006A5009">
                <w:rPr>
                  <w:noProof/>
                </w:rPr>
                <w:t>4</w:t>
              </w:r>
            </w:fldSimple>
          </w:p>
        </w:tc>
        <w:tc>
          <w:tcPr>
            <w:tcW w:w="703" w:type="dxa"/>
            <w:tcBorders>
              <w:bottom w:val="single" w:sz="4" w:space="0" w:color="000000"/>
            </w:tcBorders>
            <w:shd w:val="clear" w:color="auto" w:fill="BDD6EE" w:themeFill="accent1" w:themeFillTint="66"/>
          </w:tcPr>
          <w:p w14:paraId="5C70940D" w14:textId="0AC5497B" w:rsidR="00E46006" w:rsidRDefault="00E46006" w:rsidP="00451FEB">
            <w:pPr>
              <w:pStyle w:val="TAH"/>
            </w:pPr>
            <w:r>
              <w:t>+</w:t>
            </w:r>
            <w:fldSimple w:instr=" SEQ month \* MERGEFORMAT ">
              <w:r w:rsidR="006A5009">
                <w:rPr>
                  <w:noProof/>
                </w:rPr>
                <w:t>5</w:t>
              </w:r>
            </w:fldSimple>
          </w:p>
        </w:tc>
        <w:tc>
          <w:tcPr>
            <w:tcW w:w="703" w:type="dxa"/>
            <w:tcBorders>
              <w:bottom w:val="single" w:sz="4" w:space="0" w:color="000000"/>
            </w:tcBorders>
            <w:shd w:val="clear" w:color="auto" w:fill="BDD6EE" w:themeFill="accent1" w:themeFillTint="66"/>
          </w:tcPr>
          <w:p w14:paraId="65EC8D43" w14:textId="29D1A3B2" w:rsidR="00E46006" w:rsidRDefault="00E46006" w:rsidP="00451FEB">
            <w:pPr>
              <w:pStyle w:val="TAH"/>
            </w:pPr>
            <w:r>
              <w:t>+</w:t>
            </w:r>
            <w:fldSimple w:instr=" SEQ month \* MERGEFORMAT ">
              <w:r w:rsidR="006A5009">
                <w:rPr>
                  <w:noProof/>
                </w:rPr>
                <w:t>6</w:t>
              </w:r>
            </w:fldSimple>
          </w:p>
        </w:tc>
        <w:tc>
          <w:tcPr>
            <w:tcW w:w="703" w:type="dxa"/>
            <w:tcBorders>
              <w:bottom w:val="single" w:sz="4" w:space="0" w:color="000000"/>
            </w:tcBorders>
            <w:shd w:val="clear" w:color="auto" w:fill="BDD6EE" w:themeFill="accent1" w:themeFillTint="66"/>
          </w:tcPr>
          <w:p w14:paraId="3EF43BAD" w14:textId="098FE63E" w:rsidR="00E46006" w:rsidRDefault="00E46006" w:rsidP="00451FEB">
            <w:pPr>
              <w:pStyle w:val="TAH"/>
            </w:pPr>
            <w:r>
              <w:t>+</w:t>
            </w:r>
            <w:fldSimple w:instr=" SEQ month \* MERGEFORMAT ">
              <w:r w:rsidR="006A5009">
                <w:rPr>
                  <w:noProof/>
                </w:rPr>
                <w:t>7</w:t>
              </w:r>
            </w:fldSimple>
          </w:p>
        </w:tc>
        <w:tc>
          <w:tcPr>
            <w:tcW w:w="703" w:type="dxa"/>
            <w:tcBorders>
              <w:bottom w:val="single" w:sz="4" w:space="0" w:color="000000"/>
            </w:tcBorders>
            <w:shd w:val="clear" w:color="auto" w:fill="BDD6EE" w:themeFill="accent1" w:themeFillTint="66"/>
          </w:tcPr>
          <w:p w14:paraId="3AA22ABF" w14:textId="10FD315A" w:rsidR="00E46006" w:rsidRDefault="00E46006" w:rsidP="00451FEB">
            <w:pPr>
              <w:pStyle w:val="TAH"/>
            </w:pPr>
            <w:r>
              <w:t>+</w:t>
            </w:r>
            <w:fldSimple w:instr=" SEQ month \* MERGEFORMAT ">
              <w:r w:rsidR="006A5009">
                <w:rPr>
                  <w:noProof/>
                </w:rPr>
                <w:t>8</w:t>
              </w:r>
            </w:fldSimple>
          </w:p>
        </w:tc>
        <w:tc>
          <w:tcPr>
            <w:tcW w:w="703" w:type="dxa"/>
            <w:tcBorders>
              <w:bottom w:val="single" w:sz="4" w:space="0" w:color="000000"/>
            </w:tcBorders>
            <w:shd w:val="clear" w:color="auto" w:fill="BDD6EE" w:themeFill="accent1" w:themeFillTint="66"/>
          </w:tcPr>
          <w:p w14:paraId="7A4EC57D" w14:textId="2C5B73E1" w:rsidR="00E46006" w:rsidRDefault="00E46006" w:rsidP="00451FEB">
            <w:pPr>
              <w:pStyle w:val="TAH"/>
            </w:pPr>
            <w:r>
              <w:t>+</w:t>
            </w:r>
            <w:fldSimple w:instr=" SEQ month \* MERGEFORMAT ">
              <w:r w:rsidR="006A5009">
                <w:rPr>
                  <w:noProof/>
                </w:rPr>
                <w:t>9</w:t>
              </w:r>
            </w:fldSimple>
          </w:p>
        </w:tc>
        <w:tc>
          <w:tcPr>
            <w:tcW w:w="703" w:type="dxa"/>
            <w:tcBorders>
              <w:bottom w:val="single" w:sz="4" w:space="0" w:color="000000"/>
            </w:tcBorders>
            <w:shd w:val="clear" w:color="auto" w:fill="BDD6EE" w:themeFill="accent1" w:themeFillTint="66"/>
          </w:tcPr>
          <w:p w14:paraId="3AFB4006" w14:textId="05F51DB9" w:rsidR="00E46006" w:rsidRDefault="00E46006" w:rsidP="00451FEB">
            <w:pPr>
              <w:pStyle w:val="TAH"/>
            </w:pPr>
            <w:r>
              <w:t>+</w:t>
            </w:r>
            <w:fldSimple w:instr=" SEQ month \* MERGEFORMAT ">
              <w:r w:rsidR="006A5009">
                <w:rPr>
                  <w:noProof/>
                </w:rPr>
                <w:t>10</w:t>
              </w:r>
            </w:fldSimple>
          </w:p>
        </w:tc>
        <w:tc>
          <w:tcPr>
            <w:tcW w:w="703" w:type="dxa"/>
            <w:tcBorders>
              <w:bottom w:val="single" w:sz="4" w:space="0" w:color="000000"/>
            </w:tcBorders>
            <w:shd w:val="clear" w:color="auto" w:fill="BDD6EE" w:themeFill="accent1" w:themeFillTint="66"/>
          </w:tcPr>
          <w:p w14:paraId="53D40A82" w14:textId="3E7EDA79" w:rsidR="00E46006" w:rsidRDefault="00E46006" w:rsidP="00451FEB">
            <w:pPr>
              <w:pStyle w:val="TAH"/>
            </w:pPr>
            <w:r>
              <w:t>+</w:t>
            </w:r>
            <w:fldSimple w:instr=" SEQ month \* MERGEFORMAT ">
              <w:r w:rsidR="006A5009">
                <w:rPr>
                  <w:noProof/>
                </w:rPr>
                <w:t>11</w:t>
              </w:r>
            </w:fldSimple>
          </w:p>
        </w:tc>
        <w:tc>
          <w:tcPr>
            <w:tcW w:w="703" w:type="dxa"/>
            <w:tcBorders>
              <w:bottom w:val="single" w:sz="4" w:space="0" w:color="000000"/>
            </w:tcBorders>
            <w:shd w:val="clear" w:color="auto" w:fill="BDD6EE" w:themeFill="accent1" w:themeFillTint="66"/>
          </w:tcPr>
          <w:p w14:paraId="08A3FF63" w14:textId="6C1A49B6" w:rsidR="00E46006" w:rsidRDefault="00E46006" w:rsidP="00451FEB">
            <w:pPr>
              <w:pStyle w:val="TAH"/>
            </w:pPr>
            <w:r>
              <w:t>+</w:t>
            </w:r>
            <w:fldSimple w:instr=" SEQ month \* MERGEFORMAT ">
              <w:r w:rsidR="006A5009">
                <w:rPr>
                  <w:noProof/>
                </w:rPr>
                <w:t>12</w:t>
              </w:r>
            </w:fldSimple>
          </w:p>
        </w:tc>
        <w:tc>
          <w:tcPr>
            <w:tcW w:w="703" w:type="dxa"/>
            <w:tcBorders>
              <w:bottom w:val="single" w:sz="4" w:space="0" w:color="000000"/>
            </w:tcBorders>
            <w:shd w:val="clear" w:color="auto" w:fill="BDD6EE" w:themeFill="accent1" w:themeFillTint="66"/>
          </w:tcPr>
          <w:p w14:paraId="16892A7F" w14:textId="311A2C62" w:rsidR="00E46006" w:rsidRDefault="00E46006" w:rsidP="00451FEB">
            <w:pPr>
              <w:pStyle w:val="TAH"/>
            </w:pPr>
            <w:r>
              <w:t>+</w:t>
            </w:r>
            <w:fldSimple w:instr=" SEQ month \* MERGEFORMAT ">
              <w:r w:rsidR="006A5009">
                <w:rPr>
                  <w:noProof/>
                </w:rPr>
                <w:t>13</w:t>
              </w:r>
            </w:fldSimple>
          </w:p>
        </w:tc>
        <w:tc>
          <w:tcPr>
            <w:tcW w:w="703" w:type="dxa"/>
            <w:tcBorders>
              <w:bottom w:val="single" w:sz="4" w:space="0" w:color="000000"/>
            </w:tcBorders>
            <w:shd w:val="clear" w:color="auto" w:fill="BDD6EE" w:themeFill="accent1" w:themeFillTint="66"/>
          </w:tcPr>
          <w:p w14:paraId="27300016" w14:textId="3E74721C" w:rsidR="00E46006" w:rsidRDefault="00E46006" w:rsidP="00451FEB">
            <w:pPr>
              <w:pStyle w:val="TAH"/>
            </w:pPr>
            <w:r>
              <w:t>+</w:t>
            </w:r>
            <w:fldSimple w:instr=" SEQ month \* MERGEFORMAT ">
              <w:r w:rsidR="006A5009">
                <w:rPr>
                  <w:noProof/>
                </w:rPr>
                <w:t>14</w:t>
              </w:r>
            </w:fldSimple>
          </w:p>
        </w:tc>
        <w:tc>
          <w:tcPr>
            <w:tcW w:w="703" w:type="dxa"/>
            <w:tcBorders>
              <w:bottom w:val="single" w:sz="4" w:space="0" w:color="000000"/>
            </w:tcBorders>
            <w:shd w:val="clear" w:color="auto" w:fill="BDD6EE" w:themeFill="accent1" w:themeFillTint="66"/>
          </w:tcPr>
          <w:p w14:paraId="77801D70" w14:textId="09672E34" w:rsidR="00E46006" w:rsidRDefault="00E46006" w:rsidP="00451FEB">
            <w:pPr>
              <w:pStyle w:val="TAH"/>
            </w:pPr>
            <w:r>
              <w:t>+</w:t>
            </w:r>
            <w:fldSimple w:instr=" SEQ month \* MERGEFORMAT ">
              <w:r w:rsidR="006A5009">
                <w:rPr>
                  <w:noProof/>
                </w:rPr>
                <w:t>15</w:t>
              </w:r>
            </w:fldSimple>
          </w:p>
        </w:tc>
        <w:tc>
          <w:tcPr>
            <w:tcW w:w="703" w:type="dxa"/>
            <w:tcBorders>
              <w:bottom w:val="single" w:sz="4" w:space="0" w:color="000000"/>
            </w:tcBorders>
            <w:shd w:val="clear" w:color="auto" w:fill="BDD6EE" w:themeFill="accent1" w:themeFillTint="66"/>
          </w:tcPr>
          <w:p w14:paraId="08F63C8A" w14:textId="77777777" w:rsidR="00E46006" w:rsidRDefault="00E46006" w:rsidP="00451FEB">
            <w:pPr>
              <w:pStyle w:val="TAH"/>
            </w:pPr>
            <w:r>
              <w:t>+16</w:t>
            </w:r>
          </w:p>
        </w:tc>
        <w:tc>
          <w:tcPr>
            <w:tcW w:w="703" w:type="dxa"/>
            <w:tcBorders>
              <w:bottom w:val="single" w:sz="4" w:space="0" w:color="000000"/>
            </w:tcBorders>
            <w:shd w:val="clear" w:color="auto" w:fill="BDD6EE" w:themeFill="accent1" w:themeFillTint="66"/>
          </w:tcPr>
          <w:p w14:paraId="697D2E81" w14:textId="77777777" w:rsidR="00E46006" w:rsidRDefault="00E46006" w:rsidP="00451FEB">
            <w:pPr>
              <w:pStyle w:val="TAH"/>
            </w:pPr>
            <w:r>
              <w:t>+17</w:t>
            </w:r>
          </w:p>
        </w:tc>
        <w:tc>
          <w:tcPr>
            <w:tcW w:w="703" w:type="dxa"/>
            <w:tcBorders>
              <w:bottom w:val="single" w:sz="4" w:space="0" w:color="000000"/>
            </w:tcBorders>
            <w:shd w:val="clear" w:color="auto" w:fill="BDD6EE" w:themeFill="accent1" w:themeFillTint="66"/>
          </w:tcPr>
          <w:p w14:paraId="026E09CC" w14:textId="77777777" w:rsidR="00E46006" w:rsidRDefault="00E46006" w:rsidP="00451FEB">
            <w:pPr>
              <w:pStyle w:val="TAH"/>
            </w:pPr>
            <w:r>
              <w:t>+18</w:t>
            </w:r>
          </w:p>
        </w:tc>
      </w:tr>
      <w:tr w:rsidR="00E46006" w14:paraId="2A163E1F" w14:textId="77777777" w:rsidTr="007E6A3F">
        <w:tc>
          <w:tcPr>
            <w:tcW w:w="988" w:type="dxa"/>
            <w:shd w:val="clear" w:color="auto" w:fill="auto"/>
          </w:tcPr>
          <w:p w14:paraId="4068C215" w14:textId="77777777" w:rsidR="00E46006" w:rsidRDefault="00E46006" w:rsidP="00451FEB">
            <w:pPr>
              <w:pStyle w:val="TAC"/>
            </w:pPr>
            <w:r>
              <w:t>1.1 Setup</w:t>
            </w:r>
          </w:p>
        </w:tc>
        <w:tc>
          <w:tcPr>
            <w:tcW w:w="631" w:type="dxa"/>
            <w:tcBorders>
              <w:bottom w:val="single" w:sz="4" w:space="0" w:color="000000"/>
            </w:tcBorders>
            <w:shd w:val="clear" w:color="auto" w:fill="E2EFD9" w:themeFill="accent6" w:themeFillTint="33"/>
          </w:tcPr>
          <w:p w14:paraId="0DEA7E7E" w14:textId="77777777" w:rsidR="00E46006" w:rsidRDefault="00E46006" w:rsidP="00451FEB">
            <w:pPr>
              <w:pStyle w:val="TAC"/>
            </w:pPr>
          </w:p>
        </w:tc>
        <w:tc>
          <w:tcPr>
            <w:tcW w:w="702" w:type="dxa"/>
            <w:tcBorders>
              <w:bottom w:val="single" w:sz="4" w:space="0" w:color="000000"/>
            </w:tcBorders>
            <w:shd w:val="clear" w:color="auto" w:fill="E2EFD9" w:themeFill="accent6" w:themeFillTint="33"/>
          </w:tcPr>
          <w:p w14:paraId="78035999" w14:textId="77777777" w:rsidR="00E46006" w:rsidRDefault="00E46006" w:rsidP="00451FEB">
            <w:pPr>
              <w:pStyle w:val="TAC"/>
            </w:pPr>
          </w:p>
        </w:tc>
        <w:tc>
          <w:tcPr>
            <w:tcW w:w="702" w:type="dxa"/>
            <w:tcBorders>
              <w:bottom w:val="single" w:sz="4" w:space="0" w:color="000000"/>
            </w:tcBorders>
            <w:shd w:val="clear" w:color="auto" w:fill="E2EFD9" w:themeFill="accent6" w:themeFillTint="33"/>
          </w:tcPr>
          <w:p w14:paraId="33913AC5" w14:textId="77777777" w:rsidR="00E46006" w:rsidRDefault="00E46006" w:rsidP="00451FEB">
            <w:pPr>
              <w:pStyle w:val="TAC"/>
            </w:pPr>
          </w:p>
        </w:tc>
        <w:tc>
          <w:tcPr>
            <w:tcW w:w="703" w:type="dxa"/>
            <w:tcBorders>
              <w:bottom w:val="single" w:sz="4" w:space="0" w:color="000000"/>
            </w:tcBorders>
            <w:shd w:val="clear" w:color="auto" w:fill="FFFFFF"/>
          </w:tcPr>
          <w:p w14:paraId="65885887" w14:textId="77777777" w:rsidR="00E46006" w:rsidRDefault="00E46006" w:rsidP="00451FEB">
            <w:pPr>
              <w:pStyle w:val="TAC"/>
            </w:pPr>
          </w:p>
        </w:tc>
        <w:tc>
          <w:tcPr>
            <w:tcW w:w="703" w:type="dxa"/>
            <w:tcBorders>
              <w:bottom w:val="single" w:sz="4" w:space="0" w:color="000000"/>
            </w:tcBorders>
            <w:shd w:val="clear" w:color="auto" w:fill="FFFFFF"/>
          </w:tcPr>
          <w:p w14:paraId="3AB91F64" w14:textId="77777777" w:rsidR="00E46006" w:rsidRDefault="00E46006" w:rsidP="00451FEB">
            <w:pPr>
              <w:pStyle w:val="TAC"/>
            </w:pPr>
          </w:p>
        </w:tc>
        <w:tc>
          <w:tcPr>
            <w:tcW w:w="703" w:type="dxa"/>
            <w:tcBorders>
              <w:bottom w:val="single" w:sz="4" w:space="0" w:color="000000"/>
            </w:tcBorders>
            <w:shd w:val="clear" w:color="auto" w:fill="FFFFFF"/>
          </w:tcPr>
          <w:p w14:paraId="6AF60BD4" w14:textId="77777777" w:rsidR="00E46006" w:rsidRDefault="00E46006" w:rsidP="00451FEB">
            <w:pPr>
              <w:pStyle w:val="TAC"/>
            </w:pPr>
          </w:p>
        </w:tc>
        <w:tc>
          <w:tcPr>
            <w:tcW w:w="703" w:type="dxa"/>
            <w:tcBorders>
              <w:bottom w:val="single" w:sz="4" w:space="0" w:color="000000"/>
            </w:tcBorders>
            <w:shd w:val="clear" w:color="auto" w:fill="FFFFFF"/>
          </w:tcPr>
          <w:p w14:paraId="7C30AF4F" w14:textId="77777777" w:rsidR="00E46006" w:rsidRDefault="00E46006" w:rsidP="00451FEB">
            <w:pPr>
              <w:pStyle w:val="TAC"/>
            </w:pPr>
          </w:p>
        </w:tc>
        <w:tc>
          <w:tcPr>
            <w:tcW w:w="703" w:type="dxa"/>
            <w:tcBorders>
              <w:bottom w:val="single" w:sz="4" w:space="0" w:color="000000"/>
            </w:tcBorders>
            <w:shd w:val="clear" w:color="auto" w:fill="FFFFFF"/>
          </w:tcPr>
          <w:p w14:paraId="72C26E18" w14:textId="77777777" w:rsidR="00E46006" w:rsidRDefault="00E46006" w:rsidP="00451FEB">
            <w:pPr>
              <w:pStyle w:val="TAC"/>
            </w:pPr>
          </w:p>
        </w:tc>
        <w:tc>
          <w:tcPr>
            <w:tcW w:w="703" w:type="dxa"/>
            <w:tcBorders>
              <w:bottom w:val="single" w:sz="4" w:space="0" w:color="000000"/>
            </w:tcBorders>
            <w:shd w:val="clear" w:color="auto" w:fill="FFFFFF"/>
          </w:tcPr>
          <w:p w14:paraId="28068D6D" w14:textId="77777777" w:rsidR="00E46006" w:rsidRDefault="00E46006" w:rsidP="00451FEB">
            <w:pPr>
              <w:pStyle w:val="TAC"/>
            </w:pPr>
          </w:p>
        </w:tc>
        <w:tc>
          <w:tcPr>
            <w:tcW w:w="703" w:type="dxa"/>
            <w:tcBorders>
              <w:bottom w:val="single" w:sz="4" w:space="0" w:color="000000"/>
            </w:tcBorders>
            <w:shd w:val="clear" w:color="auto" w:fill="FFFFFF"/>
          </w:tcPr>
          <w:p w14:paraId="1E6C4812" w14:textId="77777777" w:rsidR="00E46006" w:rsidRDefault="00E46006" w:rsidP="00451FEB">
            <w:pPr>
              <w:pStyle w:val="TAC"/>
            </w:pPr>
          </w:p>
        </w:tc>
        <w:tc>
          <w:tcPr>
            <w:tcW w:w="703" w:type="dxa"/>
            <w:tcBorders>
              <w:bottom w:val="single" w:sz="4" w:space="0" w:color="000000"/>
            </w:tcBorders>
            <w:shd w:val="clear" w:color="auto" w:fill="FFFFFF"/>
          </w:tcPr>
          <w:p w14:paraId="3B159A3B" w14:textId="77777777" w:rsidR="00E46006" w:rsidRDefault="00E46006" w:rsidP="00451FEB">
            <w:pPr>
              <w:pStyle w:val="TAC"/>
            </w:pPr>
          </w:p>
        </w:tc>
        <w:tc>
          <w:tcPr>
            <w:tcW w:w="703" w:type="dxa"/>
            <w:tcBorders>
              <w:bottom w:val="single" w:sz="4" w:space="0" w:color="000000"/>
            </w:tcBorders>
            <w:shd w:val="clear" w:color="auto" w:fill="FFFFFF"/>
          </w:tcPr>
          <w:p w14:paraId="46CA8C0B" w14:textId="77777777" w:rsidR="00E46006" w:rsidRDefault="00E46006" w:rsidP="00451FEB">
            <w:pPr>
              <w:pStyle w:val="TAC"/>
            </w:pPr>
          </w:p>
        </w:tc>
        <w:tc>
          <w:tcPr>
            <w:tcW w:w="703" w:type="dxa"/>
            <w:tcBorders>
              <w:bottom w:val="single" w:sz="4" w:space="0" w:color="000000"/>
            </w:tcBorders>
            <w:shd w:val="clear" w:color="auto" w:fill="FFFFFF"/>
          </w:tcPr>
          <w:p w14:paraId="636B6E31" w14:textId="77777777" w:rsidR="00E46006" w:rsidRDefault="00E46006" w:rsidP="00451FEB">
            <w:pPr>
              <w:pStyle w:val="TAC"/>
            </w:pPr>
          </w:p>
        </w:tc>
        <w:tc>
          <w:tcPr>
            <w:tcW w:w="703" w:type="dxa"/>
            <w:tcBorders>
              <w:bottom w:val="single" w:sz="4" w:space="0" w:color="000000"/>
            </w:tcBorders>
            <w:shd w:val="clear" w:color="auto" w:fill="FFFFFF"/>
          </w:tcPr>
          <w:p w14:paraId="2B6F32BB" w14:textId="77777777" w:rsidR="00E46006" w:rsidRPr="006C132B" w:rsidRDefault="00E46006" w:rsidP="00451FEB">
            <w:pPr>
              <w:pStyle w:val="TAC"/>
              <w:rPr>
                <w:b/>
                <w:sz w:val="10"/>
                <w:szCs w:val="10"/>
              </w:rPr>
            </w:pPr>
          </w:p>
        </w:tc>
        <w:tc>
          <w:tcPr>
            <w:tcW w:w="703" w:type="dxa"/>
            <w:tcBorders>
              <w:bottom w:val="single" w:sz="4" w:space="0" w:color="000000"/>
            </w:tcBorders>
            <w:shd w:val="clear" w:color="auto" w:fill="FFFFFF"/>
          </w:tcPr>
          <w:p w14:paraId="63F9FD1C" w14:textId="77777777" w:rsidR="00E46006" w:rsidRDefault="00E46006" w:rsidP="00451FEB">
            <w:pPr>
              <w:pStyle w:val="TAC"/>
            </w:pPr>
          </w:p>
        </w:tc>
        <w:tc>
          <w:tcPr>
            <w:tcW w:w="703" w:type="dxa"/>
            <w:tcBorders>
              <w:bottom w:val="single" w:sz="4" w:space="0" w:color="000000"/>
            </w:tcBorders>
            <w:shd w:val="clear" w:color="auto" w:fill="FFFFFF"/>
          </w:tcPr>
          <w:p w14:paraId="086FF876" w14:textId="77777777" w:rsidR="00E46006" w:rsidRDefault="00E46006" w:rsidP="00451FEB">
            <w:pPr>
              <w:pStyle w:val="TAC"/>
            </w:pPr>
          </w:p>
        </w:tc>
        <w:tc>
          <w:tcPr>
            <w:tcW w:w="703" w:type="dxa"/>
            <w:tcBorders>
              <w:bottom w:val="single" w:sz="4" w:space="0" w:color="000000"/>
            </w:tcBorders>
            <w:shd w:val="clear" w:color="auto" w:fill="FFFFFF"/>
          </w:tcPr>
          <w:p w14:paraId="4A9B7FD0" w14:textId="77777777" w:rsidR="00E46006" w:rsidRDefault="00E46006" w:rsidP="00451FEB">
            <w:pPr>
              <w:pStyle w:val="TAC"/>
            </w:pPr>
          </w:p>
        </w:tc>
        <w:tc>
          <w:tcPr>
            <w:tcW w:w="703" w:type="dxa"/>
            <w:tcBorders>
              <w:bottom w:val="single" w:sz="4" w:space="0" w:color="000000"/>
            </w:tcBorders>
            <w:shd w:val="clear" w:color="auto" w:fill="FFFFFF"/>
          </w:tcPr>
          <w:p w14:paraId="4A832A33" w14:textId="77777777" w:rsidR="00E46006" w:rsidRDefault="00E46006" w:rsidP="00451FEB">
            <w:pPr>
              <w:pStyle w:val="TAC"/>
            </w:pPr>
          </w:p>
        </w:tc>
        <w:tc>
          <w:tcPr>
            <w:tcW w:w="703" w:type="dxa"/>
            <w:tcBorders>
              <w:bottom w:val="single" w:sz="4" w:space="0" w:color="000000"/>
            </w:tcBorders>
            <w:shd w:val="clear" w:color="auto" w:fill="FFFFFF"/>
          </w:tcPr>
          <w:p w14:paraId="24F6C5FD" w14:textId="77777777" w:rsidR="00E46006" w:rsidRDefault="00E46006" w:rsidP="00451FEB">
            <w:pPr>
              <w:pStyle w:val="TAC"/>
            </w:pPr>
          </w:p>
        </w:tc>
      </w:tr>
      <w:tr w:rsidR="00E46006" w14:paraId="5F41E375" w14:textId="77777777" w:rsidTr="007E6A3F">
        <w:tc>
          <w:tcPr>
            <w:tcW w:w="988" w:type="dxa"/>
            <w:shd w:val="clear" w:color="auto" w:fill="auto"/>
          </w:tcPr>
          <w:p w14:paraId="325A027B" w14:textId="77777777" w:rsidR="00E46006" w:rsidRDefault="00E46006" w:rsidP="00451FEB">
            <w:pPr>
              <w:pStyle w:val="TAC"/>
            </w:pPr>
            <w:r>
              <w:t xml:space="preserve">1.2 STF lead </w:t>
            </w:r>
          </w:p>
        </w:tc>
        <w:tc>
          <w:tcPr>
            <w:tcW w:w="631" w:type="dxa"/>
            <w:shd w:val="clear" w:color="auto" w:fill="FFFFFF"/>
          </w:tcPr>
          <w:p w14:paraId="421DECA5" w14:textId="77777777" w:rsidR="00E46006" w:rsidRDefault="00E46006" w:rsidP="00451FEB">
            <w:pPr>
              <w:pStyle w:val="TAC"/>
            </w:pPr>
          </w:p>
        </w:tc>
        <w:tc>
          <w:tcPr>
            <w:tcW w:w="702" w:type="dxa"/>
            <w:shd w:val="clear" w:color="auto" w:fill="FFFFFF"/>
          </w:tcPr>
          <w:p w14:paraId="110C461E" w14:textId="77777777" w:rsidR="00E46006" w:rsidRPr="00483B05" w:rsidRDefault="00E46006" w:rsidP="00451FEB">
            <w:pPr>
              <w:pStyle w:val="TAC"/>
            </w:pPr>
          </w:p>
        </w:tc>
        <w:tc>
          <w:tcPr>
            <w:tcW w:w="702" w:type="dxa"/>
            <w:shd w:val="clear" w:color="auto" w:fill="FFFFFF"/>
          </w:tcPr>
          <w:p w14:paraId="1EEAAE03" w14:textId="77777777" w:rsidR="00E46006" w:rsidRPr="00483B05" w:rsidRDefault="00E46006" w:rsidP="00451FEB">
            <w:pPr>
              <w:pStyle w:val="TAC"/>
            </w:pPr>
          </w:p>
        </w:tc>
        <w:tc>
          <w:tcPr>
            <w:tcW w:w="703" w:type="dxa"/>
            <w:shd w:val="clear" w:color="auto" w:fill="E2EFD9" w:themeFill="accent6" w:themeFillTint="33"/>
          </w:tcPr>
          <w:p w14:paraId="2C227D03" w14:textId="77777777" w:rsidR="00E46006" w:rsidRDefault="00E46006" w:rsidP="00451FEB">
            <w:pPr>
              <w:pStyle w:val="TAC"/>
            </w:pPr>
          </w:p>
        </w:tc>
        <w:tc>
          <w:tcPr>
            <w:tcW w:w="703" w:type="dxa"/>
            <w:shd w:val="clear" w:color="auto" w:fill="E2EFD9" w:themeFill="accent6" w:themeFillTint="33"/>
          </w:tcPr>
          <w:p w14:paraId="4222A05A" w14:textId="77777777" w:rsidR="00E46006" w:rsidRDefault="00E46006" w:rsidP="00451FEB">
            <w:pPr>
              <w:pStyle w:val="TAC"/>
            </w:pPr>
          </w:p>
        </w:tc>
        <w:tc>
          <w:tcPr>
            <w:tcW w:w="703" w:type="dxa"/>
            <w:shd w:val="clear" w:color="auto" w:fill="E2EFD9" w:themeFill="accent6" w:themeFillTint="33"/>
          </w:tcPr>
          <w:p w14:paraId="456E6261" w14:textId="77777777" w:rsidR="00E46006" w:rsidRDefault="00E46006" w:rsidP="00451FEB">
            <w:pPr>
              <w:pStyle w:val="TAC"/>
            </w:pPr>
          </w:p>
        </w:tc>
        <w:tc>
          <w:tcPr>
            <w:tcW w:w="703" w:type="dxa"/>
            <w:shd w:val="clear" w:color="auto" w:fill="E2EFD9" w:themeFill="accent6" w:themeFillTint="33"/>
          </w:tcPr>
          <w:p w14:paraId="36C0FA3B" w14:textId="77777777" w:rsidR="00E46006" w:rsidRDefault="00E46006" w:rsidP="00451FEB">
            <w:pPr>
              <w:pStyle w:val="TAC"/>
            </w:pPr>
          </w:p>
        </w:tc>
        <w:tc>
          <w:tcPr>
            <w:tcW w:w="703" w:type="dxa"/>
            <w:shd w:val="clear" w:color="auto" w:fill="E2EFD9" w:themeFill="accent6" w:themeFillTint="33"/>
          </w:tcPr>
          <w:p w14:paraId="244C7EDB" w14:textId="77777777" w:rsidR="00E46006" w:rsidRDefault="00E46006" w:rsidP="00451FEB">
            <w:pPr>
              <w:pStyle w:val="TAC"/>
            </w:pPr>
          </w:p>
        </w:tc>
        <w:tc>
          <w:tcPr>
            <w:tcW w:w="703" w:type="dxa"/>
            <w:shd w:val="clear" w:color="auto" w:fill="E2EFD9" w:themeFill="accent6" w:themeFillTint="33"/>
          </w:tcPr>
          <w:p w14:paraId="25AB4DBC" w14:textId="77777777" w:rsidR="00E46006" w:rsidRDefault="00E46006" w:rsidP="00451FEB">
            <w:pPr>
              <w:pStyle w:val="TAC"/>
            </w:pPr>
          </w:p>
        </w:tc>
        <w:tc>
          <w:tcPr>
            <w:tcW w:w="703" w:type="dxa"/>
            <w:tcBorders>
              <w:bottom w:val="single" w:sz="4" w:space="0" w:color="000000"/>
            </w:tcBorders>
            <w:shd w:val="clear" w:color="auto" w:fill="E2EFD9" w:themeFill="accent6" w:themeFillTint="33"/>
          </w:tcPr>
          <w:p w14:paraId="37D1E549" w14:textId="77777777" w:rsidR="00E46006" w:rsidRDefault="00E46006" w:rsidP="00451FEB">
            <w:pPr>
              <w:pStyle w:val="TAC"/>
            </w:pPr>
            <w:r>
              <w:t>M1.1</w:t>
            </w:r>
          </w:p>
        </w:tc>
        <w:tc>
          <w:tcPr>
            <w:tcW w:w="703" w:type="dxa"/>
            <w:tcBorders>
              <w:bottom w:val="single" w:sz="4" w:space="0" w:color="000000"/>
            </w:tcBorders>
            <w:shd w:val="clear" w:color="auto" w:fill="E2EFD9" w:themeFill="accent6" w:themeFillTint="33"/>
          </w:tcPr>
          <w:p w14:paraId="0A560002" w14:textId="77777777" w:rsidR="00E46006" w:rsidRPr="006C132B" w:rsidRDefault="00E46006" w:rsidP="00451FEB">
            <w:pPr>
              <w:pStyle w:val="TAC"/>
              <w:rPr>
                <w:b/>
                <w:sz w:val="10"/>
                <w:szCs w:val="10"/>
              </w:rPr>
            </w:pPr>
          </w:p>
        </w:tc>
        <w:tc>
          <w:tcPr>
            <w:tcW w:w="703" w:type="dxa"/>
            <w:tcBorders>
              <w:bottom w:val="single" w:sz="4" w:space="0" w:color="000000"/>
            </w:tcBorders>
            <w:shd w:val="clear" w:color="auto" w:fill="E2EFD9" w:themeFill="accent6" w:themeFillTint="33"/>
          </w:tcPr>
          <w:p w14:paraId="204B0214" w14:textId="77777777" w:rsidR="00E46006" w:rsidRDefault="00E46006" w:rsidP="00451FEB">
            <w:pPr>
              <w:pStyle w:val="TAC"/>
            </w:pPr>
          </w:p>
        </w:tc>
        <w:tc>
          <w:tcPr>
            <w:tcW w:w="703" w:type="dxa"/>
            <w:tcBorders>
              <w:bottom w:val="single" w:sz="4" w:space="0" w:color="000000"/>
            </w:tcBorders>
            <w:shd w:val="clear" w:color="auto" w:fill="E2EFD9" w:themeFill="accent6" w:themeFillTint="33"/>
          </w:tcPr>
          <w:p w14:paraId="789B7954" w14:textId="77777777" w:rsidR="00E46006" w:rsidRDefault="00E46006" w:rsidP="00451FEB">
            <w:pPr>
              <w:pStyle w:val="TAC"/>
            </w:pPr>
          </w:p>
        </w:tc>
        <w:tc>
          <w:tcPr>
            <w:tcW w:w="703" w:type="dxa"/>
            <w:tcBorders>
              <w:bottom w:val="single" w:sz="4" w:space="0" w:color="000000"/>
            </w:tcBorders>
            <w:shd w:val="clear" w:color="auto" w:fill="E2EFD9" w:themeFill="accent6" w:themeFillTint="33"/>
          </w:tcPr>
          <w:p w14:paraId="7F8A70F7" w14:textId="77777777" w:rsidR="00E46006" w:rsidRDefault="00E46006" w:rsidP="00451FEB">
            <w:pPr>
              <w:pStyle w:val="TAC"/>
            </w:pPr>
          </w:p>
        </w:tc>
        <w:tc>
          <w:tcPr>
            <w:tcW w:w="703" w:type="dxa"/>
            <w:tcBorders>
              <w:bottom w:val="single" w:sz="4" w:space="0" w:color="000000"/>
            </w:tcBorders>
            <w:shd w:val="clear" w:color="auto" w:fill="E2EFD9" w:themeFill="accent6" w:themeFillTint="33"/>
          </w:tcPr>
          <w:p w14:paraId="7D1CB1D5" w14:textId="77777777" w:rsidR="00E46006" w:rsidRDefault="00E46006" w:rsidP="00451FEB">
            <w:pPr>
              <w:pStyle w:val="TAC"/>
            </w:pPr>
          </w:p>
        </w:tc>
        <w:tc>
          <w:tcPr>
            <w:tcW w:w="703" w:type="dxa"/>
            <w:tcBorders>
              <w:bottom w:val="single" w:sz="4" w:space="0" w:color="000000"/>
            </w:tcBorders>
            <w:shd w:val="clear" w:color="auto" w:fill="E2EFD9" w:themeFill="accent6" w:themeFillTint="33"/>
          </w:tcPr>
          <w:p w14:paraId="50DF2D31" w14:textId="77777777" w:rsidR="00E46006" w:rsidRDefault="00E46006" w:rsidP="00451FEB">
            <w:pPr>
              <w:pStyle w:val="TAC"/>
            </w:pPr>
            <w:r>
              <w:t>M1.2</w:t>
            </w:r>
          </w:p>
        </w:tc>
        <w:tc>
          <w:tcPr>
            <w:tcW w:w="703" w:type="dxa"/>
            <w:tcBorders>
              <w:bottom w:val="single" w:sz="4" w:space="0" w:color="000000"/>
            </w:tcBorders>
            <w:shd w:val="clear" w:color="auto" w:fill="E2EFD9" w:themeFill="accent6" w:themeFillTint="33"/>
          </w:tcPr>
          <w:p w14:paraId="1CD59189" w14:textId="77777777" w:rsidR="00E46006" w:rsidRDefault="00E46006" w:rsidP="00451FEB">
            <w:pPr>
              <w:pStyle w:val="TAC"/>
            </w:pPr>
          </w:p>
        </w:tc>
        <w:tc>
          <w:tcPr>
            <w:tcW w:w="703" w:type="dxa"/>
            <w:tcBorders>
              <w:bottom w:val="single" w:sz="4" w:space="0" w:color="000000"/>
            </w:tcBorders>
            <w:shd w:val="clear" w:color="auto" w:fill="E2EFD9" w:themeFill="accent6" w:themeFillTint="33"/>
          </w:tcPr>
          <w:p w14:paraId="483CFB5A" w14:textId="77777777" w:rsidR="00E46006" w:rsidRDefault="00E46006" w:rsidP="00451FEB">
            <w:pPr>
              <w:pStyle w:val="TAC"/>
            </w:pPr>
          </w:p>
        </w:tc>
        <w:tc>
          <w:tcPr>
            <w:tcW w:w="703" w:type="dxa"/>
            <w:tcBorders>
              <w:bottom w:val="single" w:sz="4" w:space="0" w:color="000000"/>
            </w:tcBorders>
            <w:shd w:val="clear" w:color="auto" w:fill="E2EFD9" w:themeFill="accent6" w:themeFillTint="33"/>
          </w:tcPr>
          <w:p w14:paraId="66838994" w14:textId="77777777" w:rsidR="00E46006" w:rsidRDefault="00E46006" w:rsidP="00451FEB">
            <w:pPr>
              <w:pStyle w:val="TAC"/>
            </w:pPr>
          </w:p>
        </w:tc>
      </w:tr>
      <w:tr w:rsidR="00E46006" w14:paraId="33849571" w14:textId="77777777" w:rsidTr="007E6A3F">
        <w:tc>
          <w:tcPr>
            <w:tcW w:w="988" w:type="dxa"/>
            <w:shd w:val="clear" w:color="auto" w:fill="auto"/>
          </w:tcPr>
          <w:p w14:paraId="7DBFE088" w14:textId="77777777" w:rsidR="00E46006" w:rsidRDefault="00E46006" w:rsidP="00451FEB">
            <w:pPr>
              <w:pStyle w:val="TAC"/>
            </w:pPr>
            <w:r>
              <w:t>2 XML policies</w:t>
            </w:r>
          </w:p>
        </w:tc>
        <w:tc>
          <w:tcPr>
            <w:tcW w:w="631" w:type="dxa"/>
            <w:shd w:val="clear" w:color="auto" w:fill="FFFFFF"/>
          </w:tcPr>
          <w:p w14:paraId="4515CA3A" w14:textId="77777777" w:rsidR="00E46006" w:rsidRDefault="00E46006" w:rsidP="00451FEB">
            <w:pPr>
              <w:pStyle w:val="TAC"/>
            </w:pPr>
          </w:p>
        </w:tc>
        <w:tc>
          <w:tcPr>
            <w:tcW w:w="702" w:type="dxa"/>
            <w:shd w:val="clear" w:color="auto" w:fill="FFFFFF"/>
          </w:tcPr>
          <w:p w14:paraId="6FFBE09E" w14:textId="77777777" w:rsidR="00E46006" w:rsidRPr="00483B05" w:rsidRDefault="00E46006" w:rsidP="00451FEB">
            <w:pPr>
              <w:pStyle w:val="TAC"/>
            </w:pPr>
          </w:p>
        </w:tc>
        <w:tc>
          <w:tcPr>
            <w:tcW w:w="702" w:type="dxa"/>
            <w:shd w:val="clear" w:color="auto" w:fill="FFFFFF"/>
          </w:tcPr>
          <w:p w14:paraId="2CE50D87" w14:textId="77777777" w:rsidR="00E46006" w:rsidRPr="00483B05" w:rsidRDefault="00E46006" w:rsidP="00451FEB">
            <w:pPr>
              <w:pStyle w:val="TAC"/>
            </w:pPr>
          </w:p>
        </w:tc>
        <w:tc>
          <w:tcPr>
            <w:tcW w:w="703" w:type="dxa"/>
            <w:shd w:val="clear" w:color="auto" w:fill="E2EFD9" w:themeFill="accent6" w:themeFillTint="33"/>
          </w:tcPr>
          <w:p w14:paraId="6A44BEE5" w14:textId="77777777" w:rsidR="00E46006" w:rsidRDefault="00E46006" w:rsidP="00451FEB">
            <w:pPr>
              <w:pStyle w:val="TAC"/>
            </w:pPr>
          </w:p>
        </w:tc>
        <w:tc>
          <w:tcPr>
            <w:tcW w:w="703" w:type="dxa"/>
            <w:shd w:val="clear" w:color="auto" w:fill="E2EFD9" w:themeFill="accent6" w:themeFillTint="33"/>
          </w:tcPr>
          <w:p w14:paraId="6A5C42A3" w14:textId="77777777" w:rsidR="00E46006" w:rsidRDefault="00E46006" w:rsidP="00451FEB">
            <w:pPr>
              <w:pStyle w:val="TAC"/>
            </w:pPr>
          </w:p>
        </w:tc>
        <w:tc>
          <w:tcPr>
            <w:tcW w:w="703" w:type="dxa"/>
            <w:shd w:val="clear" w:color="auto" w:fill="E2EFD9" w:themeFill="accent6" w:themeFillTint="33"/>
          </w:tcPr>
          <w:p w14:paraId="7075532F" w14:textId="77777777" w:rsidR="00E46006" w:rsidRDefault="00E46006" w:rsidP="00451FEB">
            <w:pPr>
              <w:pStyle w:val="TAC"/>
            </w:pPr>
          </w:p>
        </w:tc>
        <w:tc>
          <w:tcPr>
            <w:tcW w:w="703" w:type="dxa"/>
            <w:shd w:val="clear" w:color="auto" w:fill="E2EFD9" w:themeFill="accent6" w:themeFillTint="33"/>
          </w:tcPr>
          <w:p w14:paraId="60052876" w14:textId="77777777" w:rsidR="00E46006" w:rsidRDefault="00E46006" w:rsidP="00451FEB">
            <w:pPr>
              <w:pStyle w:val="TAC"/>
            </w:pPr>
          </w:p>
        </w:tc>
        <w:tc>
          <w:tcPr>
            <w:tcW w:w="703" w:type="dxa"/>
            <w:shd w:val="clear" w:color="auto" w:fill="E2EFD9" w:themeFill="accent6" w:themeFillTint="33"/>
          </w:tcPr>
          <w:p w14:paraId="40EE1068" w14:textId="77777777" w:rsidR="00E46006" w:rsidRDefault="00E46006" w:rsidP="00451FEB">
            <w:pPr>
              <w:pStyle w:val="TAC"/>
            </w:pPr>
            <w:r>
              <w:t>M2.1</w:t>
            </w:r>
          </w:p>
        </w:tc>
        <w:tc>
          <w:tcPr>
            <w:tcW w:w="703" w:type="dxa"/>
            <w:shd w:val="clear" w:color="auto" w:fill="E2EFD9" w:themeFill="accent6" w:themeFillTint="33"/>
          </w:tcPr>
          <w:p w14:paraId="07F841F2" w14:textId="77777777" w:rsidR="00E46006" w:rsidRDefault="00E46006" w:rsidP="00451FEB">
            <w:pPr>
              <w:pStyle w:val="TAC"/>
            </w:pPr>
          </w:p>
        </w:tc>
        <w:tc>
          <w:tcPr>
            <w:tcW w:w="703" w:type="dxa"/>
            <w:tcBorders>
              <w:bottom w:val="single" w:sz="4" w:space="0" w:color="000000"/>
            </w:tcBorders>
            <w:shd w:val="clear" w:color="auto" w:fill="E2EFD9" w:themeFill="accent6" w:themeFillTint="33"/>
          </w:tcPr>
          <w:p w14:paraId="5A06A46C" w14:textId="77777777" w:rsidR="00E46006" w:rsidRDefault="00E46006" w:rsidP="00451FEB">
            <w:pPr>
              <w:pStyle w:val="TAC"/>
            </w:pPr>
          </w:p>
        </w:tc>
        <w:tc>
          <w:tcPr>
            <w:tcW w:w="703" w:type="dxa"/>
            <w:tcBorders>
              <w:bottom w:val="single" w:sz="4" w:space="0" w:color="000000"/>
            </w:tcBorders>
            <w:shd w:val="clear" w:color="auto" w:fill="E2EFD9" w:themeFill="accent6" w:themeFillTint="33"/>
          </w:tcPr>
          <w:p w14:paraId="4BDEB653" w14:textId="77777777" w:rsidR="00E46006" w:rsidRPr="00877108" w:rsidRDefault="00E46006" w:rsidP="00451FEB">
            <w:pPr>
              <w:pStyle w:val="TAC"/>
            </w:pPr>
            <w:r w:rsidRPr="00877108">
              <w:t>M2.2</w:t>
            </w:r>
          </w:p>
        </w:tc>
        <w:tc>
          <w:tcPr>
            <w:tcW w:w="703" w:type="dxa"/>
            <w:tcBorders>
              <w:bottom w:val="single" w:sz="4" w:space="0" w:color="000000"/>
            </w:tcBorders>
            <w:shd w:val="clear" w:color="auto" w:fill="E2EFD9" w:themeFill="accent6" w:themeFillTint="33"/>
          </w:tcPr>
          <w:p w14:paraId="3A0567FE" w14:textId="77777777" w:rsidR="00E46006" w:rsidRDefault="00E46006" w:rsidP="00451FEB">
            <w:pPr>
              <w:pStyle w:val="TAC"/>
            </w:pPr>
          </w:p>
        </w:tc>
        <w:tc>
          <w:tcPr>
            <w:tcW w:w="703" w:type="dxa"/>
            <w:tcBorders>
              <w:bottom w:val="single" w:sz="4" w:space="0" w:color="000000"/>
            </w:tcBorders>
            <w:shd w:val="clear" w:color="auto" w:fill="E2EFD9" w:themeFill="accent6" w:themeFillTint="33"/>
          </w:tcPr>
          <w:p w14:paraId="7C734CF1" w14:textId="77777777" w:rsidR="00E46006" w:rsidRDefault="00E46006" w:rsidP="00451FEB">
            <w:pPr>
              <w:pStyle w:val="TAC"/>
            </w:pPr>
          </w:p>
        </w:tc>
        <w:tc>
          <w:tcPr>
            <w:tcW w:w="703" w:type="dxa"/>
            <w:tcBorders>
              <w:bottom w:val="single" w:sz="4" w:space="0" w:color="000000"/>
            </w:tcBorders>
            <w:shd w:val="clear" w:color="auto" w:fill="E2EFD9" w:themeFill="accent6" w:themeFillTint="33"/>
          </w:tcPr>
          <w:p w14:paraId="6E5BB94D" w14:textId="77777777" w:rsidR="00E46006" w:rsidRDefault="00E46006" w:rsidP="00451FEB">
            <w:pPr>
              <w:pStyle w:val="TAC"/>
            </w:pPr>
            <w:r>
              <w:t>M2.3</w:t>
            </w:r>
          </w:p>
        </w:tc>
        <w:tc>
          <w:tcPr>
            <w:tcW w:w="703" w:type="dxa"/>
            <w:tcBorders>
              <w:bottom w:val="single" w:sz="4" w:space="0" w:color="000000"/>
            </w:tcBorders>
            <w:shd w:val="clear" w:color="auto" w:fill="E2EFD9" w:themeFill="accent6" w:themeFillTint="33"/>
          </w:tcPr>
          <w:p w14:paraId="4FE0B3A3" w14:textId="77777777" w:rsidR="00E46006" w:rsidRDefault="00E46006" w:rsidP="00451FEB">
            <w:pPr>
              <w:pStyle w:val="TAC"/>
            </w:pPr>
          </w:p>
        </w:tc>
        <w:tc>
          <w:tcPr>
            <w:tcW w:w="703" w:type="dxa"/>
            <w:tcBorders>
              <w:bottom w:val="single" w:sz="4" w:space="0" w:color="000000"/>
            </w:tcBorders>
            <w:shd w:val="clear" w:color="auto" w:fill="E2EFD9" w:themeFill="accent6" w:themeFillTint="33"/>
          </w:tcPr>
          <w:p w14:paraId="7A584702" w14:textId="77777777" w:rsidR="00E46006" w:rsidRDefault="00E46006" w:rsidP="00451FEB">
            <w:pPr>
              <w:pStyle w:val="TAC"/>
            </w:pPr>
            <w:r>
              <w:t>M2.4</w:t>
            </w:r>
          </w:p>
        </w:tc>
        <w:tc>
          <w:tcPr>
            <w:tcW w:w="703" w:type="dxa"/>
            <w:tcBorders>
              <w:bottom w:val="single" w:sz="4" w:space="0" w:color="000000"/>
            </w:tcBorders>
            <w:shd w:val="clear" w:color="auto" w:fill="E2EFD9" w:themeFill="accent6" w:themeFillTint="33"/>
          </w:tcPr>
          <w:p w14:paraId="27A90CEB" w14:textId="77777777" w:rsidR="00E46006" w:rsidRDefault="00E46006" w:rsidP="00451FEB">
            <w:pPr>
              <w:pStyle w:val="TAC"/>
            </w:pPr>
          </w:p>
        </w:tc>
        <w:tc>
          <w:tcPr>
            <w:tcW w:w="703" w:type="dxa"/>
            <w:tcBorders>
              <w:bottom w:val="single" w:sz="4" w:space="0" w:color="000000"/>
            </w:tcBorders>
            <w:shd w:val="clear" w:color="auto" w:fill="E2EFD9" w:themeFill="accent6" w:themeFillTint="33"/>
          </w:tcPr>
          <w:p w14:paraId="1B614A25" w14:textId="77777777" w:rsidR="00E46006" w:rsidRDefault="00E46006" w:rsidP="00451FEB">
            <w:pPr>
              <w:pStyle w:val="TAC"/>
            </w:pPr>
          </w:p>
        </w:tc>
        <w:tc>
          <w:tcPr>
            <w:tcW w:w="703" w:type="dxa"/>
            <w:tcBorders>
              <w:bottom w:val="single" w:sz="4" w:space="0" w:color="000000"/>
            </w:tcBorders>
            <w:shd w:val="clear" w:color="auto" w:fill="E2EFD9" w:themeFill="accent6" w:themeFillTint="33"/>
          </w:tcPr>
          <w:p w14:paraId="7E663ECF" w14:textId="77777777" w:rsidR="00E46006" w:rsidRDefault="00E46006" w:rsidP="00451FEB">
            <w:pPr>
              <w:pStyle w:val="TAC"/>
            </w:pPr>
          </w:p>
        </w:tc>
      </w:tr>
      <w:tr w:rsidR="00E46006" w14:paraId="3A675F68" w14:textId="77777777" w:rsidTr="007E6A3F">
        <w:tc>
          <w:tcPr>
            <w:tcW w:w="988" w:type="dxa"/>
            <w:shd w:val="clear" w:color="auto" w:fill="auto"/>
          </w:tcPr>
          <w:p w14:paraId="0065EED7" w14:textId="77777777" w:rsidR="00E46006" w:rsidRDefault="00E46006" w:rsidP="00451FEB">
            <w:pPr>
              <w:pStyle w:val="TAC"/>
            </w:pPr>
            <w:r>
              <w:t>3 ASN.1 policies</w:t>
            </w:r>
          </w:p>
        </w:tc>
        <w:tc>
          <w:tcPr>
            <w:tcW w:w="631" w:type="dxa"/>
            <w:shd w:val="clear" w:color="auto" w:fill="FFFFFF"/>
          </w:tcPr>
          <w:p w14:paraId="618858F6" w14:textId="77777777" w:rsidR="00E46006" w:rsidRDefault="00E46006" w:rsidP="00451FEB">
            <w:pPr>
              <w:pStyle w:val="TAC"/>
            </w:pPr>
          </w:p>
        </w:tc>
        <w:tc>
          <w:tcPr>
            <w:tcW w:w="702" w:type="dxa"/>
            <w:shd w:val="clear" w:color="auto" w:fill="FFFFFF"/>
          </w:tcPr>
          <w:p w14:paraId="46C9D1AD" w14:textId="77777777" w:rsidR="00E46006" w:rsidRDefault="00E46006" w:rsidP="00451FEB">
            <w:pPr>
              <w:pStyle w:val="TAC"/>
            </w:pPr>
          </w:p>
        </w:tc>
        <w:tc>
          <w:tcPr>
            <w:tcW w:w="702" w:type="dxa"/>
            <w:shd w:val="clear" w:color="auto" w:fill="FFFFFF"/>
          </w:tcPr>
          <w:p w14:paraId="477DA8D2" w14:textId="77777777" w:rsidR="00E46006" w:rsidRDefault="00E46006" w:rsidP="00451FEB">
            <w:pPr>
              <w:pStyle w:val="TAC"/>
            </w:pPr>
          </w:p>
        </w:tc>
        <w:tc>
          <w:tcPr>
            <w:tcW w:w="703" w:type="dxa"/>
            <w:shd w:val="clear" w:color="auto" w:fill="E2EFD9" w:themeFill="accent6" w:themeFillTint="33"/>
          </w:tcPr>
          <w:p w14:paraId="3AC26B5D" w14:textId="77777777" w:rsidR="00E46006" w:rsidRDefault="00E46006" w:rsidP="00451FEB">
            <w:pPr>
              <w:pStyle w:val="TAC"/>
            </w:pPr>
          </w:p>
        </w:tc>
        <w:tc>
          <w:tcPr>
            <w:tcW w:w="703" w:type="dxa"/>
            <w:shd w:val="clear" w:color="auto" w:fill="E2EFD9" w:themeFill="accent6" w:themeFillTint="33"/>
          </w:tcPr>
          <w:p w14:paraId="4F9D97EA" w14:textId="77777777" w:rsidR="00E46006" w:rsidRDefault="00E46006" w:rsidP="00451FEB">
            <w:pPr>
              <w:pStyle w:val="TAC"/>
            </w:pPr>
          </w:p>
        </w:tc>
        <w:tc>
          <w:tcPr>
            <w:tcW w:w="703" w:type="dxa"/>
            <w:tcBorders>
              <w:bottom w:val="single" w:sz="4" w:space="0" w:color="000000"/>
            </w:tcBorders>
            <w:shd w:val="clear" w:color="auto" w:fill="E2EFD9" w:themeFill="accent6" w:themeFillTint="33"/>
          </w:tcPr>
          <w:p w14:paraId="6BD9D0A2" w14:textId="77777777" w:rsidR="00E46006" w:rsidRDefault="00E46006" w:rsidP="00451FEB">
            <w:pPr>
              <w:pStyle w:val="TAC"/>
            </w:pPr>
          </w:p>
        </w:tc>
        <w:tc>
          <w:tcPr>
            <w:tcW w:w="703" w:type="dxa"/>
            <w:tcBorders>
              <w:bottom w:val="single" w:sz="4" w:space="0" w:color="000000"/>
            </w:tcBorders>
            <w:shd w:val="clear" w:color="auto" w:fill="E2EFD9" w:themeFill="accent6" w:themeFillTint="33"/>
          </w:tcPr>
          <w:p w14:paraId="1E25D4E2" w14:textId="77777777" w:rsidR="00E46006" w:rsidRDefault="00E46006" w:rsidP="00451FEB">
            <w:pPr>
              <w:pStyle w:val="TAC"/>
            </w:pPr>
          </w:p>
        </w:tc>
        <w:tc>
          <w:tcPr>
            <w:tcW w:w="703" w:type="dxa"/>
            <w:tcBorders>
              <w:bottom w:val="single" w:sz="4" w:space="0" w:color="000000"/>
            </w:tcBorders>
            <w:shd w:val="clear" w:color="auto" w:fill="E2EFD9" w:themeFill="accent6" w:themeFillTint="33"/>
          </w:tcPr>
          <w:p w14:paraId="2C64A9A9" w14:textId="77777777" w:rsidR="00E46006" w:rsidRDefault="00E46006" w:rsidP="00451FEB">
            <w:pPr>
              <w:pStyle w:val="TAC"/>
            </w:pPr>
            <w:r>
              <w:t>M3.1</w:t>
            </w:r>
          </w:p>
        </w:tc>
        <w:tc>
          <w:tcPr>
            <w:tcW w:w="703" w:type="dxa"/>
            <w:tcBorders>
              <w:bottom w:val="single" w:sz="4" w:space="0" w:color="000000"/>
            </w:tcBorders>
            <w:shd w:val="clear" w:color="auto" w:fill="E2EFD9" w:themeFill="accent6" w:themeFillTint="33"/>
          </w:tcPr>
          <w:p w14:paraId="2CCD7DC8" w14:textId="77777777" w:rsidR="00E46006" w:rsidRDefault="00E46006" w:rsidP="00451FEB">
            <w:pPr>
              <w:pStyle w:val="TAC"/>
            </w:pPr>
          </w:p>
        </w:tc>
        <w:tc>
          <w:tcPr>
            <w:tcW w:w="703" w:type="dxa"/>
            <w:tcBorders>
              <w:bottom w:val="single" w:sz="4" w:space="0" w:color="000000"/>
            </w:tcBorders>
            <w:shd w:val="clear" w:color="auto" w:fill="E2EFD9" w:themeFill="accent6" w:themeFillTint="33"/>
          </w:tcPr>
          <w:p w14:paraId="625F1CC6" w14:textId="77777777" w:rsidR="00E46006" w:rsidRDefault="00E46006" w:rsidP="00451FEB">
            <w:pPr>
              <w:pStyle w:val="TAC"/>
            </w:pPr>
          </w:p>
        </w:tc>
        <w:tc>
          <w:tcPr>
            <w:tcW w:w="703" w:type="dxa"/>
            <w:tcBorders>
              <w:bottom w:val="single" w:sz="4" w:space="0" w:color="000000"/>
            </w:tcBorders>
            <w:shd w:val="clear" w:color="auto" w:fill="E2EFD9" w:themeFill="accent6" w:themeFillTint="33"/>
          </w:tcPr>
          <w:p w14:paraId="75DFBDD4" w14:textId="77777777" w:rsidR="00E46006" w:rsidRDefault="00E46006" w:rsidP="00451FEB">
            <w:pPr>
              <w:pStyle w:val="TAC"/>
            </w:pPr>
            <w:r>
              <w:t>M3</w:t>
            </w:r>
            <w:r w:rsidRPr="0037012C">
              <w:t>.2</w:t>
            </w:r>
          </w:p>
        </w:tc>
        <w:tc>
          <w:tcPr>
            <w:tcW w:w="703" w:type="dxa"/>
            <w:tcBorders>
              <w:bottom w:val="single" w:sz="4" w:space="0" w:color="000000"/>
            </w:tcBorders>
            <w:shd w:val="clear" w:color="auto" w:fill="E2EFD9" w:themeFill="accent6" w:themeFillTint="33"/>
          </w:tcPr>
          <w:p w14:paraId="23826F6B" w14:textId="77777777" w:rsidR="00E46006" w:rsidRDefault="00E46006" w:rsidP="00451FEB">
            <w:pPr>
              <w:pStyle w:val="TAC"/>
            </w:pPr>
          </w:p>
        </w:tc>
        <w:tc>
          <w:tcPr>
            <w:tcW w:w="703" w:type="dxa"/>
            <w:tcBorders>
              <w:bottom w:val="single" w:sz="4" w:space="0" w:color="000000"/>
            </w:tcBorders>
            <w:shd w:val="clear" w:color="auto" w:fill="E2EFD9" w:themeFill="accent6" w:themeFillTint="33"/>
          </w:tcPr>
          <w:p w14:paraId="5DF92A05" w14:textId="77777777" w:rsidR="00E46006" w:rsidRDefault="00E46006" w:rsidP="00451FEB">
            <w:pPr>
              <w:pStyle w:val="TAC"/>
            </w:pPr>
          </w:p>
        </w:tc>
        <w:tc>
          <w:tcPr>
            <w:tcW w:w="703" w:type="dxa"/>
            <w:tcBorders>
              <w:bottom w:val="single" w:sz="4" w:space="0" w:color="000000"/>
            </w:tcBorders>
            <w:shd w:val="clear" w:color="auto" w:fill="E2EFD9" w:themeFill="accent6" w:themeFillTint="33"/>
          </w:tcPr>
          <w:p w14:paraId="3ACDECF7" w14:textId="77777777" w:rsidR="00E46006" w:rsidRDefault="00E46006" w:rsidP="00451FEB">
            <w:pPr>
              <w:pStyle w:val="TAC"/>
            </w:pPr>
            <w:r>
              <w:t>M3.3</w:t>
            </w:r>
          </w:p>
        </w:tc>
        <w:tc>
          <w:tcPr>
            <w:tcW w:w="703" w:type="dxa"/>
            <w:tcBorders>
              <w:bottom w:val="single" w:sz="4" w:space="0" w:color="000000"/>
            </w:tcBorders>
            <w:shd w:val="clear" w:color="auto" w:fill="E2EFD9" w:themeFill="accent6" w:themeFillTint="33"/>
          </w:tcPr>
          <w:p w14:paraId="09088FD5" w14:textId="77777777" w:rsidR="00E46006" w:rsidRDefault="00E46006" w:rsidP="00451FEB">
            <w:pPr>
              <w:pStyle w:val="TAC"/>
            </w:pPr>
          </w:p>
        </w:tc>
        <w:tc>
          <w:tcPr>
            <w:tcW w:w="703" w:type="dxa"/>
            <w:tcBorders>
              <w:bottom w:val="single" w:sz="4" w:space="0" w:color="000000"/>
            </w:tcBorders>
            <w:shd w:val="clear" w:color="auto" w:fill="E2EFD9" w:themeFill="accent6" w:themeFillTint="33"/>
          </w:tcPr>
          <w:p w14:paraId="28829886" w14:textId="77777777" w:rsidR="00E46006" w:rsidRDefault="00E46006" w:rsidP="00451FEB">
            <w:pPr>
              <w:pStyle w:val="TAC"/>
            </w:pPr>
            <w:r>
              <w:t>M3.4</w:t>
            </w:r>
          </w:p>
        </w:tc>
        <w:tc>
          <w:tcPr>
            <w:tcW w:w="703" w:type="dxa"/>
            <w:tcBorders>
              <w:bottom w:val="single" w:sz="4" w:space="0" w:color="000000"/>
            </w:tcBorders>
            <w:shd w:val="clear" w:color="auto" w:fill="E2EFD9" w:themeFill="accent6" w:themeFillTint="33"/>
          </w:tcPr>
          <w:p w14:paraId="352224B9" w14:textId="77777777" w:rsidR="00E46006" w:rsidRDefault="00E46006" w:rsidP="00451FEB">
            <w:pPr>
              <w:pStyle w:val="TAC"/>
            </w:pPr>
          </w:p>
        </w:tc>
        <w:tc>
          <w:tcPr>
            <w:tcW w:w="703" w:type="dxa"/>
            <w:tcBorders>
              <w:bottom w:val="single" w:sz="4" w:space="0" w:color="000000"/>
            </w:tcBorders>
            <w:shd w:val="clear" w:color="auto" w:fill="E2EFD9" w:themeFill="accent6" w:themeFillTint="33"/>
          </w:tcPr>
          <w:p w14:paraId="79E79117" w14:textId="77777777" w:rsidR="00E46006" w:rsidRDefault="00E46006" w:rsidP="00451FEB">
            <w:pPr>
              <w:pStyle w:val="TAC"/>
            </w:pPr>
          </w:p>
        </w:tc>
        <w:tc>
          <w:tcPr>
            <w:tcW w:w="703" w:type="dxa"/>
            <w:tcBorders>
              <w:bottom w:val="single" w:sz="4" w:space="0" w:color="000000"/>
            </w:tcBorders>
            <w:shd w:val="clear" w:color="auto" w:fill="E2EFD9" w:themeFill="accent6" w:themeFillTint="33"/>
          </w:tcPr>
          <w:p w14:paraId="43B60EEC" w14:textId="77777777" w:rsidR="00E46006" w:rsidRDefault="00E46006" w:rsidP="00451FEB">
            <w:pPr>
              <w:pStyle w:val="TAC"/>
            </w:pPr>
          </w:p>
        </w:tc>
      </w:tr>
      <w:tr w:rsidR="00E46006" w14:paraId="5A610599" w14:textId="77777777" w:rsidTr="007E6A3F">
        <w:tc>
          <w:tcPr>
            <w:tcW w:w="988" w:type="dxa"/>
            <w:shd w:val="clear" w:color="auto" w:fill="auto"/>
          </w:tcPr>
          <w:p w14:paraId="2AC3F34C" w14:textId="77777777" w:rsidR="00E46006" w:rsidRDefault="00E46006" w:rsidP="00451FEB">
            <w:pPr>
              <w:pStyle w:val="TAC"/>
            </w:pPr>
            <w:r>
              <w:t>4 global acceptance</w:t>
            </w:r>
          </w:p>
        </w:tc>
        <w:tc>
          <w:tcPr>
            <w:tcW w:w="631" w:type="dxa"/>
            <w:shd w:val="clear" w:color="auto" w:fill="FFFFFF"/>
          </w:tcPr>
          <w:p w14:paraId="3A596E45" w14:textId="77777777" w:rsidR="00E46006" w:rsidRDefault="00E46006" w:rsidP="00451FEB">
            <w:pPr>
              <w:pStyle w:val="TAC"/>
            </w:pPr>
          </w:p>
        </w:tc>
        <w:tc>
          <w:tcPr>
            <w:tcW w:w="702" w:type="dxa"/>
            <w:shd w:val="clear" w:color="auto" w:fill="FFFFFF"/>
          </w:tcPr>
          <w:p w14:paraId="13E827BC" w14:textId="77777777" w:rsidR="00E46006" w:rsidRDefault="00E46006" w:rsidP="00451FEB">
            <w:pPr>
              <w:pStyle w:val="TAC"/>
            </w:pPr>
          </w:p>
        </w:tc>
        <w:tc>
          <w:tcPr>
            <w:tcW w:w="702" w:type="dxa"/>
            <w:shd w:val="clear" w:color="auto" w:fill="FFFFFF"/>
          </w:tcPr>
          <w:p w14:paraId="4C490288" w14:textId="77777777" w:rsidR="00E46006" w:rsidRDefault="00E46006" w:rsidP="00451FEB">
            <w:pPr>
              <w:pStyle w:val="TAC"/>
            </w:pPr>
          </w:p>
        </w:tc>
        <w:tc>
          <w:tcPr>
            <w:tcW w:w="703" w:type="dxa"/>
            <w:shd w:val="clear" w:color="auto" w:fill="E2EFD9" w:themeFill="accent6" w:themeFillTint="33"/>
          </w:tcPr>
          <w:p w14:paraId="27F2EDD4" w14:textId="77777777" w:rsidR="00E46006" w:rsidRDefault="00E46006" w:rsidP="00451FEB">
            <w:pPr>
              <w:pStyle w:val="TAC"/>
            </w:pPr>
          </w:p>
        </w:tc>
        <w:tc>
          <w:tcPr>
            <w:tcW w:w="703" w:type="dxa"/>
            <w:shd w:val="clear" w:color="auto" w:fill="E2EFD9" w:themeFill="accent6" w:themeFillTint="33"/>
          </w:tcPr>
          <w:p w14:paraId="2D9AB05D" w14:textId="77777777" w:rsidR="00E46006" w:rsidRDefault="00E46006" w:rsidP="00451FEB">
            <w:pPr>
              <w:pStyle w:val="TAC"/>
            </w:pPr>
          </w:p>
        </w:tc>
        <w:tc>
          <w:tcPr>
            <w:tcW w:w="703" w:type="dxa"/>
            <w:shd w:val="clear" w:color="auto" w:fill="E2EFD9" w:themeFill="accent6" w:themeFillTint="33"/>
          </w:tcPr>
          <w:p w14:paraId="226CAB2A" w14:textId="77777777" w:rsidR="00E46006" w:rsidRDefault="00E46006" w:rsidP="00451FEB">
            <w:pPr>
              <w:pStyle w:val="TAC"/>
            </w:pPr>
          </w:p>
        </w:tc>
        <w:tc>
          <w:tcPr>
            <w:tcW w:w="703" w:type="dxa"/>
            <w:shd w:val="clear" w:color="auto" w:fill="E2EFD9" w:themeFill="accent6" w:themeFillTint="33"/>
          </w:tcPr>
          <w:p w14:paraId="3DEF39C2" w14:textId="77777777" w:rsidR="00E46006" w:rsidRDefault="00E46006" w:rsidP="00451FEB">
            <w:pPr>
              <w:pStyle w:val="TAC"/>
            </w:pPr>
            <w:r>
              <w:t>M4.1</w:t>
            </w:r>
          </w:p>
        </w:tc>
        <w:tc>
          <w:tcPr>
            <w:tcW w:w="703" w:type="dxa"/>
            <w:shd w:val="clear" w:color="auto" w:fill="E2EFD9" w:themeFill="accent6" w:themeFillTint="33"/>
          </w:tcPr>
          <w:p w14:paraId="1D87969A" w14:textId="77777777" w:rsidR="00E46006" w:rsidRDefault="00E46006" w:rsidP="00451FEB">
            <w:pPr>
              <w:pStyle w:val="TAC"/>
            </w:pPr>
          </w:p>
        </w:tc>
        <w:tc>
          <w:tcPr>
            <w:tcW w:w="703" w:type="dxa"/>
            <w:shd w:val="clear" w:color="auto" w:fill="E2EFD9" w:themeFill="accent6" w:themeFillTint="33"/>
          </w:tcPr>
          <w:p w14:paraId="75A96497" w14:textId="77777777" w:rsidR="00E46006" w:rsidRDefault="00E46006" w:rsidP="00451FEB">
            <w:pPr>
              <w:pStyle w:val="TAC"/>
            </w:pPr>
          </w:p>
        </w:tc>
        <w:tc>
          <w:tcPr>
            <w:tcW w:w="703" w:type="dxa"/>
            <w:shd w:val="clear" w:color="auto" w:fill="E2EFD9" w:themeFill="accent6" w:themeFillTint="33"/>
          </w:tcPr>
          <w:p w14:paraId="7E84DC1A" w14:textId="77777777" w:rsidR="00E46006" w:rsidRDefault="00E46006" w:rsidP="00451FEB">
            <w:pPr>
              <w:pStyle w:val="TAC"/>
            </w:pPr>
          </w:p>
        </w:tc>
        <w:tc>
          <w:tcPr>
            <w:tcW w:w="703" w:type="dxa"/>
            <w:shd w:val="clear" w:color="auto" w:fill="E2EFD9" w:themeFill="accent6" w:themeFillTint="33"/>
          </w:tcPr>
          <w:p w14:paraId="49FCDD56" w14:textId="77777777" w:rsidR="00E46006" w:rsidRPr="00877108" w:rsidRDefault="00E46006" w:rsidP="00451FEB">
            <w:pPr>
              <w:pStyle w:val="TAC"/>
            </w:pPr>
            <w:r w:rsidRPr="00877108">
              <w:t>M4.2</w:t>
            </w:r>
          </w:p>
        </w:tc>
        <w:tc>
          <w:tcPr>
            <w:tcW w:w="703" w:type="dxa"/>
            <w:shd w:val="clear" w:color="auto" w:fill="E2EFD9" w:themeFill="accent6" w:themeFillTint="33"/>
          </w:tcPr>
          <w:p w14:paraId="04C40AE1" w14:textId="77777777" w:rsidR="00E46006" w:rsidRDefault="00E46006" w:rsidP="00451FEB">
            <w:pPr>
              <w:pStyle w:val="TAC"/>
            </w:pPr>
          </w:p>
        </w:tc>
        <w:tc>
          <w:tcPr>
            <w:tcW w:w="703" w:type="dxa"/>
            <w:shd w:val="clear" w:color="auto" w:fill="E2EFD9" w:themeFill="accent6" w:themeFillTint="33"/>
          </w:tcPr>
          <w:p w14:paraId="6FE21D05" w14:textId="77777777" w:rsidR="00E46006" w:rsidRDefault="00E46006" w:rsidP="00451FEB">
            <w:pPr>
              <w:pStyle w:val="TAC"/>
            </w:pPr>
          </w:p>
        </w:tc>
        <w:tc>
          <w:tcPr>
            <w:tcW w:w="703" w:type="dxa"/>
            <w:tcBorders>
              <w:bottom w:val="single" w:sz="4" w:space="0" w:color="000000"/>
            </w:tcBorders>
            <w:shd w:val="clear" w:color="auto" w:fill="E2EFD9" w:themeFill="accent6" w:themeFillTint="33"/>
          </w:tcPr>
          <w:p w14:paraId="50804D5D" w14:textId="77777777" w:rsidR="00E46006" w:rsidRDefault="00E46006" w:rsidP="00451FEB">
            <w:pPr>
              <w:pStyle w:val="TAC"/>
            </w:pPr>
            <w:r>
              <w:t>M4.3</w:t>
            </w:r>
          </w:p>
        </w:tc>
        <w:tc>
          <w:tcPr>
            <w:tcW w:w="703" w:type="dxa"/>
            <w:tcBorders>
              <w:bottom w:val="single" w:sz="4" w:space="0" w:color="000000"/>
            </w:tcBorders>
            <w:shd w:val="clear" w:color="auto" w:fill="E2EFD9" w:themeFill="accent6" w:themeFillTint="33"/>
          </w:tcPr>
          <w:p w14:paraId="6524CF0F" w14:textId="77777777" w:rsidR="00E46006" w:rsidRDefault="00E46006" w:rsidP="00451FEB">
            <w:pPr>
              <w:pStyle w:val="TAC"/>
            </w:pPr>
          </w:p>
        </w:tc>
        <w:tc>
          <w:tcPr>
            <w:tcW w:w="703" w:type="dxa"/>
            <w:tcBorders>
              <w:bottom w:val="single" w:sz="4" w:space="0" w:color="000000"/>
            </w:tcBorders>
            <w:shd w:val="clear" w:color="auto" w:fill="E2EFD9" w:themeFill="accent6" w:themeFillTint="33"/>
          </w:tcPr>
          <w:p w14:paraId="50287054" w14:textId="77777777" w:rsidR="00E46006" w:rsidRDefault="00E46006" w:rsidP="00451FEB">
            <w:pPr>
              <w:pStyle w:val="TAC"/>
            </w:pPr>
            <w:r>
              <w:t>M4.4</w:t>
            </w:r>
          </w:p>
        </w:tc>
        <w:tc>
          <w:tcPr>
            <w:tcW w:w="703" w:type="dxa"/>
            <w:tcBorders>
              <w:bottom w:val="single" w:sz="4" w:space="0" w:color="000000"/>
            </w:tcBorders>
            <w:shd w:val="clear" w:color="auto" w:fill="E2EFD9" w:themeFill="accent6" w:themeFillTint="33"/>
          </w:tcPr>
          <w:p w14:paraId="3A6A2659" w14:textId="77777777" w:rsidR="00E46006" w:rsidRDefault="00E46006" w:rsidP="00451FEB">
            <w:pPr>
              <w:pStyle w:val="TAC"/>
            </w:pPr>
          </w:p>
        </w:tc>
        <w:tc>
          <w:tcPr>
            <w:tcW w:w="703" w:type="dxa"/>
            <w:tcBorders>
              <w:bottom w:val="single" w:sz="4" w:space="0" w:color="000000"/>
            </w:tcBorders>
            <w:shd w:val="clear" w:color="auto" w:fill="E2EFD9" w:themeFill="accent6" w:themeFillTint="33"/>
          </w:tcPr>
          <w:p w14:paraId="154E0A63" w14:textId="77777777" w:rsidR="00E46006" w:rsidRDefault="00E46006" w:rsidP="00451FEB">
            <w:pPr>
              <w:pStyle w:val="TAC"/>
            </w:pPr>
          </w:p>
        </w:tc>
        <w:tc>
          <w:tcPr>
            <w:tcW w:w="703" w:type="dxa"/>
            <w:tcBorders>
              <w:bottom w:val="single" w:sz="4" w:space="0" w:color="000000"/>
            </w:tcBorders>
            <w:shd w:val="clear" w:color="auto" w:fill="E2EFD9" w:themeFill="accent6" w:themeFillTint="33"/>
          </w:tcPr>
          <w:p w14:paraId="6DF13A93" w14:textId="77777777" w:rsidR="00E46006" w:rsidRDefault="00E46006" w:rsidP="00451FEB">
            <w:pPr>
              <w:pStyle w:val="TAC"/>
            </w:pPr>
          </w:p>
        </w:tc>
      </w:tr>
      <w:tr w:rsidR="00E46006" w14:paraId="4F164FED" w14:textId="77777777" w:rsidTr="007E6A3F">
        <w:tc>
          <w:tcPr>
            <w:tcW w:w="988" w:type="dxa"/>
            <w:shd w:val="clear" w:color="auto" w:fill="auto"/>
          </w:tcPr>
          <w:p w14:paraId="5720A382" w14:textId="77777777" w:rsidR="00E46006" w:rsidRDefault="00E46006" w:rsidP="00451FEB">
            <w:pPr>
              <w:pStyle w:val="TAC"/>
            </w:pPr>
            <w:r>
              <w:t>5 workshops</w:t>
            </w:r>
          </w:p>
        </w:tc>
        <w:tc>
          <w:tcPr>
            <w:tcW w:w="631" w:type="dxa"/>
            <w:tcBorders>
              <w:bottom w:val="single" w:sz="4" w:space="0" w:color="000000"/>
            </w:tcBorders>
            <w:shd w:val="clear" w:color="auto" w:fill="FFFFFF"/>
          </w:tcPr>
          <w:p w14:paraId="1A2DA5C5" w14:textId="77777777" w:rsidR="00E46006" w:rsidRDefault="00E46006" w:rsidP="00451FEB">
            <w:pPr>
              <w:pStyle w:val="TAC"/>
            </w:pPr>
          </w:p>
        </w:tc>
        <w:tc>
          <w:tcPr>
            <w:tcW w:w="702" w:type="dxa"/>
            <w:shd w:val="clear" w:color="auto" w:fill="FFFFFF"/>
          </w:tcPr>
          <w:p w14:paraId="643D2D7D" w14:textId="77777777" w:rsidR="00E46006" w:rsidRDefault="00E46006" w:rsidP="00451FEB">
            <w:pPr>
              <w:pStyle w:val="TAC"/>
            </w:pPr>
          </w:p>
        </w:tc>
        <w:tc>
          <w:tcPr>
            <w:tcW w:w="702" w:type="dxa"/>
            <w:shd w:val="clear" w:color="auto" w:fill="FFFFFF"/>
          </w:tcPr>
          <w:p w14:paraId="1A06F3B9" w14:textId="77777777" w:rsidR="00E46006" w:rsidRDefault="00E46006" w:rsidP="00451FEB">
            <w:pPr>
              <w:pStyle w:val="TAC"/>
            </w:pPr>
          </w:p>
        </w:tc>
        <w:tc>
          <w:tcPr>
            <w:tcW w:w="703" w:type="dxa"/>
            <w:shd w:val="clear" w:color="auto" w:fill="E2EFD9" w:themeFill="accent6" w:themeFillTint="33"/>
          </w:tcPr>
          <w:p w14:paraId="17C0B57C" w14:textId="77777777" w:rsidR="00E46006" w:rsidRDefault="00E46006" w:rsidP="00451FEB">
            <w:pPr>
              <w:pStyle w:val="TAC"/>
            </w:pPr>
          </w:p>
        </w:tc>
        <w:tc>
          <w:tcPr>
            <w:tcW w:w="703" w:type="dxa"/>
            <w:shd w:val="clear" w:color="auto" w:fill="E2EFD9" w:themeFill="accent6" w:themeFillTint="33"/>
          </w:tcPr>
          <w:p w14:paraId="56FF0F24" w14:textId="77777777" w:rsidR="00E46006" w:rsidRDefault="00E46006" w:rsidP="00451FEB">
            <w:pPr>
              <w:pStyle w:val="TAC"/>
            </w:pPr>
          </w:p>
        </w:tc>
        <w:tc>
          <w:tcPr>
            <w:tcW w:w="703" w:type="dxa"/>
            <w:shd w:val="clear" w:color="auto" w:fill="E2EFD9" w:themeFill="accent6" w:themeFillTint="33"/>
          </w:tcPr>
          <w:p w14:paraId="11F4C1A8" w14:textId="77777777" w:rsidR="00E46006" w:rsidRDefault="00E46006" w:rsidP="00451FEB">
            <w:pPr>
              <w:pStyle w:val="TAC"/>
            </w:pPr>
          </w:p>
        </w:tc>
        <w:tc>
          <w:tcPr>
            <w:tcW w:w="703" w:type="dxa"/>
            <w:shd w:val="clear" w:color="auto" w:fill="E2EFD9" w:themeFill="accent6" w:themeFillTint="33"/>
          </w:tcPr>
          <w:p w14:paraId="75B5FAE2" w14:textId="77777777" w:rsidR="00E46006" w:rsidRDefault="00E46006" w:rsidP="00451FEB">
            <w:pPr>
              <w:pStyle w:val="TAC"/>
            </w:pPr>
            <w:r>
              <w:t>M5.1</w:t>
            </w:r>
          </w:p>
        </w:tc>
        <w:tc>
          <w:tcPr>
            <w:tcW w:w="703" w:type="dxa"/>
            <w:shd w:val="clear" w:color="auto" w:fill="E2EFD9" w:themeFill="accent6" w:themeFillTint="33"/>
          </w:tcPr>
          <w:p w14:paraId="61669A6C" w14:textId="77777777" w:rsidR="00E46006" w:rsidRDefault="00E46006" w:rsidP="00451FEB">
            <w:pPr>
              <w:pStyle w:val="TAC"/>
            </w:pPr>
          </w:p>
        </w:tc>
        <w:tc>
          <w:tcPr>
            <w:tcW w:w="703" w:type="dxa"/>
            <w:shd w:val="clear" w:color="auto" w:fill="E2EFD9" w:themeFill="accent6" w:themeFillTint="33"/>
          </w:tcPr>
          <w:p w14:paraId="383F17D9" w14:textId="77777777" w:rsidR="00E46006" w:rsidRDefault="00E46006" w:rsidP="00451FEB">
            <w:pPr>
              <w:pStyle w:val="TAC"/>
            </w:pPr>
          </w:p>
        </w:tc>
        <w:tc>
          <w:tcPr>
            <w:tcW w:w="703" w:type="dxa"/>
            <w:shd w:val="clear" w:color="auto" w:fill="E2EFD9" w:themeFill="accent6" w:themeFillTint="33"/>
          </w:tcPr>
          <w:p w14:paraId="6782A7E9" w14:textId="77777777" w:rsidR="00E46006" w:rsidRDefault="00E46006" w:rsidP="00451FEB">
            <w:pPr>
              <w:pStyle w:val="TAC"/>
            </w:pPr>
          </w:p>
        </w:tc>
        <w:tc>
          <w:tcPr>
            <w:tcW w:w="703" w:type="dxa"/>
            <w:shd w:val="clear" w:color="auto" w:fill="E2EFD9" w:themeFill="accent6" w:themeFillTint="33"/>
          </w:tcPr>
          <w:p w14:paraId="1A708BCF" w14:textId="77777777" w:rsidR="00E46006" w:rsidRDefault="00E46006" w:rsidP="00451FEB">
            <w:pPr>
              <w:pStyle w:val="TAC"/>
            </w:pPr>
          </w:p>
        </w:tc>
        <w:tc>
          <w:tcPr>
            <w:tcW w:w="703" w:type="dxa"/>
            <w:shd w:val="clear" w:color="auto" w:fill="E2EFD9" w:themeFill="accent6" w:themeFillTint="33"/>
          </w:tcPr>
          <w:p w14:paraId="6AB048D5" w14:textId="77777777" w:rsidR="00E46006" w:rsidRDefault="00E46006" w:rsidP="00451FEB">
            <w:pPr>
              <w:pStyle w:val="TAC"/>
            </w:pPr>
          </w:p>
        </w:tc>
        <w:tc>
          <w:tcPr>
            <w:tcW w:w="703" w:type="dxa"/>
            <w:shd w:val="clear" w:color="auto" w:fill="E2EFD9" w:themeFill="accent6" w:themeFillTint="33"/>
          </w:tcPr>
          <w:p w14:paraId="07E6FBE8" w14:textId="77777777" w:rsidR="00E46006" w:rsidRDefault="00E46006" w:rsidP="00451FEB">
            <w:pPr>
              <w:pStyle w:val="TAC"/>
            </w:pPr>
          </w:p>
        </w:tc>
        <w:tc>
          <w:tcPr>
            <w:tcW w:w="703" w:type="dxa"/>
            <w:shd w:val="clear" w:color="auto" w:fill="E2EFD9" w:themeFill="accent6" w:themeFillTint="33"/>
          </w:tcPr>
          <w:p w14:paraId="435AB5AB" w14:textId="77777777" w:rsidR="00E46006" w:rsidRDefault="00E46006" w:rsidP="00451FEB">
            <w:pPr>
              <w:pStyle w:val="TAC"/>
            </w:pPr>
          </w:p>
        </w:tc>
        <w:tc>
          <w:tcPr>
            <w:tcW w:w="703" w:type="dxa"/>
            <w:shd w:val="clear" w:color="auto" w:fill="E2EFD9" w:themeFill="accent6" w:themeFillTint="33"/>
          </w:tcPr>
          <w:p w14:paraId="09F8386B" w14:textId="77777777" w:rsidR="00E46006" w:rsidRDefault="00E46006" w:rsidP="00451FEB">
            <w:pPr>
              <w:pStyle w:val="TAC"/>
            </w:pPr>
          </w:p>
        </w:tc>
        <w:tc>
          <w:tcPr>
            <w:tcW w:w="703" w:type="dxa"/>
            <w:tcBorders>
              <w:bottom w:val="single" w:sz="4" w:space="0" w:color="000000"/>
            </w:tcBorders>
            <w:shd w:val="clear" w:color="auto" w:fill="E2EFD9" w:themeFill="accent6" w:themeFillTint="33"/>
          </w:tcPr>
          <w:p w14:paraId="12990570" w14:textId="77777777" w:rsidR="00E46006" w:rsidRDefault="00E46006" w:rsidP="00451FEB">
            <w:pPr>
              <w:pStyle w:val="TAC"/>
            </w:pPr>
          </w:p>
        </w:tc>
        <w:tc>
          <w:tcPr>
            <w:tcW w:w="703" w:type="dxa"/>
            <w:tcBorders>
              <w:bottom w:val="single" w:sz="4" w:space="0" w:color="000000"/>
            </w:tcBorders>
            <w:shd w:val="clear" w:color="auto" w:fill="E2EFD9" w:themeFill="accent6" w:themeFillTint="33"/>
          </w:tcPr>
          <w:p w14:paraId="137265BE" w14:textId="77777777" w:rsidR="00E46006" w:rsidRDefault="00E46006" w:rsidP="00451FEB">
            <w:pPr>
              <w:pStyle w:val="TAC"/>
            </w:pPr>
            <w:r>
              <w:t>M5.2</w:t>
            </w:r>
          </w:p>
        </w:tc>
        <w:tc>
          <w:tcPr>
            <w:tcW w:w="703" w:type="dxa"/>
            <w:tcBorders>
              <w:bottom w:val="single" w:sz="4" w:space="0" w:color="000000"/>
            </w:tcBorders>
            <w:shd w:val="clear" w:color="auto" w:fill="E2EFD9" w:themeFill="accent6" w:themeFillTint="33"/>
          </w:tcPr>
          <w:p w14:paraId="26B5EB83" w14:textId="77777777" w:rsidR="00E46006" w:rsidRDefault="00E46006" w:rsidP="00451FEB">
            <w:pPr>
              <w:pStyle w:val="TAC"/>
            </w:pPr>
          </w:p>
        </w:tc>
        <w:tc>
          <w:tcPr>
            <w:tcW w:w="703" w:type="dxa"/>
            <w:tcBorders>
              <w:bottom w:val="single" w:sz="4" w:space="0" w:color="000000"/>
            </w:tcBorders>
            <w:shd w:val="clear" w:color="auto" w:fill="E2EFD9" w:themeFill="accent6" w:themeFillTint="33"/>
          </w:tcPr>
          <w:p w14:paraId="2C18D0FD" w14:textId="77777777" w:rsidR="00E46006" w:rsidRDefault="00E46006" w:rsidP="00451FEB">
            <w:pPr>
              <w:pStyle w:val="TAC"/>
            </w:pPr>
            <w:r>
              <w:t>M5.3</w:t>
            </w:r>
          </w:p>
        </w:tc>
      </w:tr>
    </w:tbl>
    <w:p w14:paraId="26052505" w14:textId="77777777" w:rsidR="00E46006" w:rsidRDefault="00E46006" w:rsidP="00E46006">
      <w:pPr>
        <w:jc w:val="center"/>
      </w:pPr>
    </w:p>
    <w:p w14:paraId="2E69F634" w14:textId="77777777" w:rsidR="00E46006" w:rsidRDefault="00E46006" w:rsidP="00E46006">
      <w:pPr>
        <w:rPr>
          <w:i/>
        </w:rPr>
      </w:pPr>
    </w:p>
    <w:p w14:paraId="3216E403" w14:textId="77777777" w:rsidR="00E46006" w:rsidRDefault="00E46006" w:rsidP="00E46006">
      <w:pPr>
        <w:rPr>
          <w:i/>
        </w:rPr>
      </w:pPr>
    </w:p>
    <w:p w14:paraId="333606A1" w14:textId="77777777" w:rsidR="00E46006" w:rsidRPr="00AA7270" w:rsidRDefault="00E46006" w:rsidP="00E46006">
      <w:pPr>
        <w:rPr>
          <w:i/>
        </w:rPr>
      </w:pPr>
    </w:p>
    <w:p w14:paraId="3AA92987" w14:textId="77777777" w:rsidR="00E46006" w:rsidRDefault="00E46006" w:rsidP="00E46006">
      <w:pPr>
        <w:sectPr w:rsidR="00E46006" w:rsidSect="00451FEB">
          <w:pgSz w:w="16838" w:h="11906" w:orient="landscape"/>
          <w:pgMar w:top="1417" w:right="1417" w:bottom="1417" w:left="1417" w:header="708" w:footer="708" w:gutter="0"/>
          <w:cols w:space="708"/>
          <w:docGrid w:linePitch="360"/>
        </w:sectPr>
      </w:pPr>
    </w:p>
    <w:p w14:paraId="06AAEE1F" w14:textId="77777777" w:rsidR="00E46006" w:rsidRPr="00795A5C" w:rsidRDefault="00E46006" w:rsidP="00E46006"/>
    <w:p w14:paraId="667DD913" w14:textId="705014D2" w:rsidR="00E46006" w:rsidRDefault="00E46006" w:rsidP="00E46006">
      <w:pPr>
        <w:spacing w:before="240"/>
        <w:rPr>
          <w:b/>
          <w:sz w:val="28"/>
          <w:u w:val="single"/>
        </w:rPr>
      </w:pPr>
      <w:r w:rsidRPr="00795A5C">
        <w:rPr>
          <w:b/>
          <w:sz w:val="28"/>
          <w:u w:val="single"/>
        </w:rPr>
        <w:t>Part III:</w:t>
      </w:r>
      <w:r w:rsidRPr="00795A5C">
        <w:rPr>
          <w:b/>
          <w:sz w:val="28"/>
          <w:u w:val="single"/>
        </w:rPr>
        <w:tab/>
        <w:t>Financial part</w:t>
      </w:r>
    </w:p>
    <w:p w14:paraId="4B3BA9C2" w14:textId="77777777" w:rsidR="008207D1" w:rsidRPr="008207D1" w:rsidRDefault="008207D1" w:rsidP="00E46006">
      <w:pPr>
        <w:spacing w:before="240"/>
        <w:rPr>
          <w:b/>
          <w:sz w:val="24"/>
          <w:szCs w:val="24"/>
          <w:u w:val="single"/>
        </w:rPr>
      </w:pPr>
    </w:p>
    <w:p w14:paraId="04FDA87D" w14:textId="77777777" w:rsidR="00E46006" w:rsidRDefault="00E46006" w:rsidP="00E46006">
      <w:pPr>
        <w:pStyle w:val="Heading1"/>
        <w:keepLines w:val="0"/>
        <w:numPr>
          <w:ilvl w:val="0"/>
          <w:numId w:val="19"/>
        </w:numPr>
        <w:tabs>
          <w:tab w:val="clear" w:pos="1418"/>
        </w:tabs>
        <w:overflowPunct/>
        <w:autoSpaceDE/>
        <w:autoSpaceDN/>
        <w:adjustRightInd/>
        <w:textAlignment w:val="auto"/>
      </w:pPr>
      <w:r w:rsidRPr="00795A5C">
        <w:t>Financial provisions in the EC/EFTA contract</w:t>
      </w:r>
    </w:p>
    <w:p w14:paraId="12357D2F" w14:textId="77777777" w:rsidR="00E46006" w:rsidRPr="0067209B" w:rsidRDefault="00E46006" w:rsidP="00E46006">
      <w:pPr>
        <w:pStyle w:val="Heading2"/>
        <w:keepLines w:val="0"/>
        <w:numPr>
          <w:ilvl w:val="1"/>
          <w:numId w:val="19"/>
        </w:numPr>
        <w:tabs>
          <w:tab w:val="clear" w:pos="1418"/>
        </w:tabs>
        <w:overflowPunct/>
        <w:autoSpaceDE/>
        <w:autoSpaceDN/>
        <w:adjustRightInd/>
        <w:jc w:val="both"/>
        <w:textAlignment w:val="auto"/>
      </w:pPr>
      <w:r w:rsidRPr="0067209B">
        <w:t>Total action costs</w:t>
      </w:r>
    </w:p>
    <w:p w14:paraId="29102946" w14:textId="19DFC3E3" w:rsidR="00E46006" w:rsidRDefault="00E46006" w:rsidP="00E46006">
      <w:pPr>
        <w:rPr>
          <w:rFonts w:cs="Arial"/>
          <w:bCs/>
        </w:rPr>
      </w:pPr>
      <w:r w:rsidRPr="0067209B">
        <w:t xml:space="preserve">The total action costs estimated for this action amounts to </w:t>
      </w:r>
      <w:r>
        <w:t xml:space="preserve">159 651,29 </w:t>
      </w:r>
      <w:r w:rsidRPr="00E82BC2">
        <w:t xml:space="preserve">€ based on the lump sum of </w:t>
      </w:r>
      <w:r w:rsidRPr="00E620C9">
        <w:t>640,51</w:t>
      </w:r>
      <w:r>
        <w:t xml:space="preserve"> </w:t>
      </w:r>
      <w:r w:rsidRPr="00E82BC2">
        <w:rPr>
          <w:rFonts w:cs="Arial"/>
          <w:bCs/>
        </w:rPr>
        <w:t xml:space="preserve">€ per unit and the requirement for </w:t>
      </w:r>
      <w:r>
        <w:rPr>
          <w:rFonts w:cs="Arial"/>
          <w:bCs/>
        </w:rPr>
        <w:t>179</w:t>
      </w:r>
      <w:r w:rsidRPr="00E82BC2">
        <w:rPr>
          <w:rFonts w:cs="Arial"/>
          <w:bCs/>
        </w:rPr>
        <w:t xml:space="preserve"> units to carry out the actions described</w:t>
      </w:r>
      <w:r>
        <w:rPr>
          <w:rFonts w:cs="Arial"/>
          <w:bCs/>
        </w:rPr>
        <w:t xml:space="preserve"> plus 45 000 </w:t>
      </w:r>
      <w:r w:rsidRPr="00E82BC2">
        <w:t>€</w:t>
      </w:r>
      <w:r>
        <w:t xml:space="preserve"> in subcontracting</w:t>
      </w:r>
      <w:r w:rsidRPr="00E82BC2">
        <w:rPr>
          <w:rFonts w:cs="Arial"/>
          <w:bCs/>
        </w:rPr>
        <w:t>. EFTA is to provide a 5% co-financing (</w:t>
      </w:r>
      <w:r>
        <w:rPr>
          <w:rFonts w:cs="Arial"/>
          <w:bCs/>
        </w:rPr>
        <w:t xml:space="preserve">7982,56 </w:t>
      </w:r>
      <w:r w:rsidRPr="00E82BC2">
        <w:t>€</w:t>
      </w:r>
      <w:r w:rsidRPr="00E82BC2">
        <w:rPr>
          <w:rFonts w:cs="Arial"/>
          <w:bCs/>
        </w:rPr>
        <w:t>) and hence the EC contribution (95%) will be</w:t>
      </w:r>
      <w:r>
        <w:rPr>
          <w:rFonts w:cs="Arial"/>
          <w:bCs/>
        </w:rPr>
        <w:t xml:space="preserve"> 151 668,73 </w:t>
      </w:r>
      <w:r w:rsidRPr="00E82BC2">
        <w:rPr>
          <w:rFonts w:cs="Arial"/>
          <w:bCs/>
        </w:rPr>
        <w:t>€.</w:t>
      </w:r>
    </w:p>
    <w:p w14:paraId="386AA2A6" w14:textId="77777777" w:rsidR="008207D1" w:rsidRPr="0067209B" w:rsidRDefault="008207D1" w:rsidP="00E46006"/>
    <w:p w14:paraId="6C0C3AEB" w14:textId="77777777" w:rsidR="00E46006" w:rsidRPr="0067209B" w:rsidRDefault="00E46006" w:rsidP="00E46006">
      <w:pPr>
        <w:pStyle w:val="Heading2"/>
        <w:keepLines w:val="0"/>
        <w:numPr>
          <w:ilvl w:val="1"/>
          <w:numId w:val="19"/>
        </w:numPr>
        <w:tabs>
          <w:tab w:val="clear" w:pos="1418"/>
        </w:tabs>
        <w:overflowPunct/>
        <w:autoSpaceDE/>
        <w:autoSpaceDN/>
        <w:adjustRightInd/>
        <w:jc w:val="both"/>
        <w:textAlignment w:val="auto"/>
      </w:pPr>
      <w:r w:rsidRPr="0067209B">
        <w:t>Direct (eligible) costs</w:t>
      </w:r>
    </w:p>
    <w:p w14:paraId="2C3D3711" w14:textId="6960EAD8" w:rsidR="00E46006" w:rsidRDefault="00E46006" w:rsidP="00E46006">
      <w:r w:rsidRPr="0067209B">
        <w:t>N/A</w:t>
      </w:r>
    </w:p>
    <w:p w14:paraId="461E5A87" w14:textId="77777777" w:rsidR="008207D1" w:rsidRPr="0067209B" w:rsidRDefault="008207D1" w:rsidP="00E46006"/>
    <w:p w14:paraId="43765E05" w14:textId="77777777" w:rsidR="00E46006" w:rsidRPr="0067209B" w:rsidRDefault="00E46006" w:rsidP="00E46006">
      <w:pPr>
        <w:pStyle w:val="Heading2"/>
        <w:keepLines w:val="0"/>
        <w:numPr>
          <w:ilvl w:val="1"/>
          <w:numId w:val="19"/>
        </w:numPr>
        <w:tabs>
          <w:tab w:val="clear" w:pos="1418"/>
        </w:tabs>
        <w:overflowPunct/>
        <w:autoSpaceDE/>
        <w:autoSpaceDN/>
        <w:adjustRightInd/>
        <w:jc w:val="both"/>
        <w:textAlignment w:val="auto"/>
      </w:pPr>
      <w:r w:rsidRPr="0067209B">
        <w:t>Travelling costs</w:t>
      </w:r>
    </w:p>
    <w:p w14:paraId="2F01AD4D" w14:textId="6ECA28FC" w:rsidR="00E46006" w:rsidRDefault="00E46006" w:rsidP="00E46006">
      <w:r w:rsidRPr="0067209B">
        <w:t>N/A</w:t>
      </w:r>
    </w:p>
    <w:p w14:paraId="5C932F6D" w14:textId="77777777" w:rsidR="008207D1" w:rsidRPr="0067209B" w:rsidRDefault="008207D1" w:rsidP="00E46006"/>
    <w:p w14:paraId="6E622163" w14:textId="77777777" w:rsidR="00E46006" w:rsidRPr="0067209B" w:rsidRDefault="00E46006" w:rsidP="00E46006">
      <w:pPr>
        <w:pStyle w:val="Heading2"/>
        <w:keepLines w:val="0"/>
        <w:numPr>
          <w:ilvl w:val="1"/>
          <w:numId w:val="19"/>
        </w:numPr>
        <w:tabs>
          <w:tab w:val="clear" w:pos="1418"/>
        </w:tabs>
        <w:overflowPunct/>
        <w:autoSpaceDE/>
        <w:autoSpaceDN/>
        <w:adjustRightInd/>
        <w:jc w:val="both"/>
        <w:textAlignment w:val="auto"/>
      </w:pPr>
      <w:r w:rsidRPr="0067209B">
        <w:t>Equipment necessary to implement the action</w:t>
      </w:r>
    </w:p>
    <w:p w14:paraId="45A7B891" w14:textId="04C807C0" w:rsidR="00E46006" w:rsidRDefault="00E46006" w:rsidP="00E46006">
      <w:r w:rsidRPr="0067209B">
        <w:t>N/A</w:t>
      </w:r>
    </w:p>
    <w:p w14:paraId="08DE105E" w14:textId="77777777" w:rsidR="008207D1" w:rsidRPr="0067209B" w:rsidRDefault="008207D1" w:rsidP="00E46006"/>
    <w:p w14:paraId="4E607834" w14:textId="77777777" w:rsidR="00E46006" w:rsidRPr="0067209B" w:rsidRDefault="00E46006" w:rsidP="00E46006">
      <w:pPr>
        <w:pStyle w:val="Heading2"/>
        <w:keepLines w:val="0"/>
        <w:numPr>
          <w:ilvl w:val="1"/>
          <w:numId w:val="19"/>
        </w:numPr>
        <w:tabs>
          <w:tab w:val="clear" w:pos="1418"/>
        </w:tabs>
        <w:overflowPunct/>
        <w:autoSpaceDE/>
        <w:autoSpaceDN/>
        <w:adjustRightInd/>
        <w:jc w:val="both"/>
        <w:textAlignment w:val="auto"/>
      </w:pPr>
      <w:r w:rsidRPr="0067209B">
        <w:t>Cost of consumables and supplies necessary to implement the action</w:t>
      </w:r>
    </w:p>
    <w:p w14:paraId="65F04173" w14:textId="659F1781" w:rsidR="00E46006" w:rsidRDefault="00E46006" w:rsidP="00E46006">
      <w:r w:rsidRPr="0067209B">
        <w:t>N/A</w:t>
      </w:r>
    </w:p>
    <w:p w14:paraId="23559C23" w14:textId="77777777" w:rsidR="008207D1" w:rsidRPr="0067209B" w:rsidRDefault="008207D1" w:rsidP="00E46006"/>
    <w:p w14:paraId="4D0BBB75" w14:textId="77777777" w:rsidR="00E46006" w:rsidRPr="0067209B" w:rsidRDefault="00E46006" w:rsidP="00E46006">
      <w:pPr>
        <w:pStyle w:val="Heading2"/>
        <w:keepLines w:val="0"/>
        <w:numPr>
          <w:ilvl w:val="1"/>
          <w:numId w:val="19"/>
        </w:numPr>
        <w:tabs>
          <w:tab w:val="clear" w:pos="1418"/>
        </w:tabs>
        <w:overflowPunct/>
        <w:autoSpaceDE/>
        <w:autoSpaceDN/>
        <w:adjustRightInd/>
        <w:jc w:val="both"/>
        <w:textAlignment w:val="auto"/>
      </w:pPr>
      <w:r w:rsidRPr="0067209B">
        <w:t>Other costs and services necessary to implement the action</w:t>
      </w:r>
    </w:p>
    <w:p w14:paraId="562359CF" w14:textId="4B152C85" w:rsidR="00E46006" w:rsidRDefault="00E46006" w:rsidP="00E46006">
      <w:r w:rsidRPr="0067209B">
        <w:t>N/A</w:t>
      </w:r>
    </w:p>
    <w:p w14:paraId="0659D35F" w14:textId="77777777" w:rsidR="008207D1" w:rsidRPr="0067209B" w:rsidRDefault="008207D1" w:rsidP="00E46006"/>
    <w:p w14:paraId="25394007" w14:textId="77777777" w:rsidR="00E46006" w:rsidRPr="0067209B" w:rsidRDefault="00E46006" w:rsidP="00E46006">
      <w:pPr>
        <w:pStyle w:val="Heading2"/>
        <w:keepLines w:val="0"/>
        <w:numPr>
          <w:ilvl w:val="1"/>
          <w:numId w:val="19"/>
        </w:numPr>
        <w:tabs>
          <w:tab w:val="clear" w:pos="1418"/>
        </w:tabs>
        <w:overflowPunct/>
        <w:autoSpaceDE/>
        <w:autoSpaceDN/>
        <w:adjustRightInd/>
        <w:jc w:val="both"/>
        <w:textAlignment w:val="auto"/>
      </w:pPr>
      <w:r w:rsidRPr="0067209B">
        <w:t xml:space="preserve">Subcontracting to external organisations </w:t>
      </w:r>
    </w:p>
    <w:p w14:paraId="205A209D" w14:textId="77777777" w:rsidR="00E46006" w:rsidRPr="00C708B1" w:rsidRDefault="00E46006" w:rsidP="00E46006">
      <w:pPr>
        <w:pStyle w:val="TAC"/>
        <w:jc w:val="left"/>
        <w:rPr>
          <w:sz w:val="20"/>
        </w:rPr>
      </w:pPr>
      <w:r w:rsidRPr="00C708B1">
        <w:rPr>
          <w:sz w:val="20"/>
        </w:rPr>
        <w:t>Subcontracting costs for the 3 workshops: 15,000€ * 3 (= 45</w:t>
      </w:r>
      <w:r>
        <w:rPr>
          <w:sz w:val="20"/>
        </w:rPr>
        <w:t xml:space="preserve"> </w:t>
      </w:r>
      <w:r w:rsidRPr="00C708B1">
        <w:rPr>
          <w:sz w:val="20"/>
        </w:rPr>
        <w:t>000 €) for organising and hosting costs including room, catering, promotional material, etc.</w:t>
      </w:r>
    </w:p>
    <w:p w14:paraId="3CA1F93B" w14:textId="77777777" w:rsidR="00E46006" w:rsidRDefault="00E46006" w:rsidP="00E46006">
      <w:pPr>
        <w:pStyle w:val="TAC"/>
        <w:jc w:val="left"/>
      </w:pPr>
    </w:p>
    <w:p w14:paraId="54F9EBC2" w14:textId="547C7B55" w:rsidR="00E46006" w:rsidRDefault="00E46006">
      <w:pPr>
        <w:tabs>
          <w:tab w:val="clear" w:pos="1418"/>
          <w:tab w:val="clear" w:pos="4678"/>
          <w:tab w:val="clear" w:pos="5954"/>
          <w:tab w:val="clear" w:pos="7088"/>
        </w:tabs>
        <w:overflowPunct/>
        <w:autoSpaceDE/>
        <w:autoSpaceDN/>
        <w:adjustRightInd/>
        <w:jc w:val="left"/>
        <w:textAlignment w:val="auto"/>
      </w:pPr>
      <w:r>
        <w:br w:type="page"/>
      </w:r>
    </w:p>
    <w:p w14:paraId="4040C128" w14:textId="77777777" w:rsidR="00E46006" w:rsidRDefault="00E46006" w:rsidP="00E46006">
      <w:pPr>
        <w:pStyle w:val="Heading1"/>
        <w:numPr>
          <w:ilvl w:val="0"/>
          <w:numId w:val="0"/>
        </w:numPr>
      </w:pPr>
      <w:r>
        <w:lastRenderedPageBreak/>
        <w:t>Annex – Notes on International Activities</w:t>
      </w:r>
    </w:p>
    <w:p w14:paraId="0F3EE830" w14:textId="77777777" w:rsidR="00E46006" w:rsidRDefault="00E46006" w:rsidP="00E46006"/>
    <w:p w14:paraId="7B5E25F1" w14:textId="77777777" w:rsidR="00E46006" w:rsidRPr="007E6A3F" w:rsidRDefault="00E46006" w:rsidP="00E46006">
      <w:pPr>
        <w:pStyle w:val="ListParagraph"/>
        <w:numPr>
          <w:ilvl w:val="0"/>
          <w:numId w:val="29"/>
        </w:numPr>
        <w:spacing w:after="240"/>
        <w:jc w:val="both"/>
        <w:rPr>
          <w:rFonts w:ascii="Arial" w:hAnsi="Arial" w:cs="Arial"/>
          <w:sz w:val="20"/>
        </w:rPr>
      </w:pPr>
      <w:r w:rsidRPr="007E6A3F">
        <w:rPr>
          <w:rFonts w:ascii="Arial" w:hAnsi="Arial" w:cs="Arial"/>
          <w:sz w:val="20"/>
        </w:rPr>
        <w:t>ISO/IEC JTC 1 SC 27 WG 4 was taking a different path when they started updating TR 14516 with some ISO members proposing solutions which did not fully align with ETSI standards. In April 2016, the project on ISO TS 14516 was cancelled, due to concerns of many EU nations that it did not align with EU standards, and so a new Study Period on Information security guidance for PKI service providers was established.  There is an opportunity to influence this new activity to ensure alignment with EU standards if appropriates inputs made to make ISO aware of the benefits of the current EU approach.</w:t>
      </w:r>
    </w:p>
    <w:p w14:paraId="65E28AB4" w14:textId="77777777" w:rsidR="00E46006" w:rsidRPr="007E6A3F" w:rsidRDefault="00E46006" w:rsidP="00E46006">
      <w:pPr>
        <w:pStyle w:val="ListParagraph"/>
        <w:rPr>
          <w:rFonts w:ascii="Arial" w:hAnsi="Arial" w:cs="Arial"/>
          <w:sz w:val="20"/>
        </w:rPr>
      </w:pPr>
    </w:p>
    <w:p w14:paraId="3EF01AD8" w14:textId="77777777" w:rsidR="00E46006" w:rsidRPr="007E6A3F" w:rsidRDefault="00E46006" w:rsidP="00E46006">
      <w:pPr>
        <w:pStyle w:val="ListParagraph"/>
        <w:numPr>
          <w:ilvl w:val="0"/>
          <w:numId w:val="29"/>
        </w:numPr>
        <w:spacing w:after="240"/>
        <w:jc w:val="both"/>
        <w:rPr>
          <w:rFonts w:ascii="Arial" w:hAnsi="Arial" w:cs="Arial"/>
          <w:sz w:val="20"/>
          <w:lang w:val="x-none"/>
        </w:rPr>
      </w:pPr>
      <w:r w:rsidRPr="007E6A3F">
        <w:rPr>
          <w:rFonts w:ascii="Arial" w:hAnsi="Arial" w:cs="Arial"/>
          <w:sz w:val="20"/>
        </w:rPr>
        <w:t xml:space="preserve">While acceptance of ETSI certificate policies (EN 319 411, EN 319 401 with EN 319 403) by CA/B Forum was achieved in July 2016, they need to be updated to alignment with the requirements as set out by ISO 27000. As it stands, acceptance by the global software vendors and trust application providers like Mozilla, Google, Microsoft, Amazon, Adobe and Oracle remains a challenge, particularly with the general reluctance to recognise EU qualified level of certificates for web site authentication and the non-adoption of the EU trusted list based on TS 119 612. </w:t>
      </w:r>
      <w:r w:rsidRPr="007E6A3F">
        <w:rPr>
          <w:rFonts w:ascii="Arial" w:hAnsi="Arial" w:cs="Arial"/>
          <w:sz w:val="20"/>
          <w:lang w:val="x-none"/>
        </w:rPr>
        <w:t xml:space="preserve">The push towards wider international acceptance </w:t>
      </w:r>
      <w:r w:rsidRPr="007E6A3F">
        <w:rPr>
          <w:rFonts w:ascii="Arial" w:hAnsi="Arial" w:cs="Arial"/>
          <w:sz w:val="20"/>
        </w:rPr>
        <w:t xml:space="preserve">of the trusted list of qualified certificates </w:t>
      </w:r>
      <w:r w:rsidRPr="007E6A3F">
        <w:rPr>
          <w:rFonts w:ascii="Arial" w:hAnsi="Arial" w:cs="Arial"/>
          <w:sz w:val="20"/>
          <w:lang w:val="x-none"/>
        </w:rPr>
        <w:t xml:space="preserve">will be aided </w:t>
      </w:r>
      <w:r w:rsidRPr="007E6A3F">
        <w:rPr>
          <w:rFonts w:ascii="Arial" w:hAnsi="Arial" w:cs="Arial"/>
          <w:sz w:val="20"/>
        </w:rPr>
        <w:t>by alignment of the requirements of the CA/B Forum and audit of qualified certificates and as held in the EU Trusted List</w:t>
      </w:r>
      <w:r w:rsidRPr="007E6A3F">
        <w:rPr>
          <w:rFonts w:ascii="Arial" w:hAnsi="Arial" w:cs="Arial"/>
          <w:sz w:val="20"/>
          <w:lang w:val="x-none"/>
        </w:rPr>
        <w:t>.</w:t>
      </w:r>
    </w:p>
    <w:p w14:paraId="1C42A930" w14:textId="77777777" w:rsidR="00E46006" w:rsidRPr="007E6A3F" w:rsidRDefault="00E46006" w:rsidP="00E46006">
      <w:pPr>
        <w:pStyle w:val="ListParagraph"/>
        <w:rPr>
          <w:rFonts w:ascii="Arial" w:hAnsi="Arial" w:cs="Arial"/>
          <w:sz w:val="20"/>
          <w:lang w:val="x-none"/>
        </w:rPr>
      </w:pPr>
    </w:p>
    <w:p w14:paraId="44614C50" w14:textId="77777777" w:rsidR="00E46006" w:rsidRPr="007E6A3F" w:rsidRDefault="00E46006" w:rsidP="00E46006">
      <w:pPr>
        <w:pStyle w:val="ListParagraph"/>
        <w:numPr>
          <w:ilvl w:val="0"/>
          <w:numId w:val="29"/>
        </w:numPr>
        <w:spacing w:after="240"/>
        <w:jc w:val="both"/>
        <w:rPr>
          <w:rFonts w:ascii="Arial" w:hAnsi="Arial" w:cs="Arial"/>
          <w:sz w:val="20"/>
          <w:lang w:val="x-none"/>
        </w:rPr>
      </w:pPr>
      <w:r w:rsidRPr="007E6A3F">
        <w:rPr>
          <w:rFonts w:ascii="Arial" w:hAnsi="Arial" w:cs="Arial"/>
          <w:sz w:val="20"/>
        </w:rPr>
        <w:t>Discussions have been held with US experts looking towards alignment PKI schemes supporting EU and US requirements for communities such as for the Biopharma industry, as well as the US national governmental programmes such as Federal PKI and the National Strategy for Trusted Identities in Cyberspace (NSTIC) and certain barriers exist still which inhibit the ability of industry to meet US and EU requirements.</w:t>
      </w:r>
    </w:p>
    <w:p w14:paraId="63B9638A" w14:textId="77777777" w:rsidR="00E46006" w:rsidRPr="007E6A3F" w:rsidRDefault="00E46006" w:rsidP="00E46006">
      <w:pPr>
        <w:pStyle w:val="ListParagraph"/>
        <w:rPr>
          <w:rFonts w:ascii="Arial" w:hAnsi="Arial" w:cs="Arial"/>
          <w:sz w:val="20"/>
          <w:lang w:val="x-none"/>
        </w:rPr>
      </w:pPr>
    </w:p>
    <w:p w14:paraId="5A2C941A" w14:textId="77777777" w:rsidR="00E46006" w:rsidRPr="007E6A3F" w:rsidRDefault="00E46006" w:rsidP="00E46006">
      <w:pPr>
        <w:pStyle w:val="ListParagraph"/>
        <w:numPr>
          <w:ilvl w:val="0"/>
          <w:numId w:val="29"/>
        </w:numPr>
        <w:spacing w:after="240"/>
        <w:jc w:val="both"/>
        <w:rPr>
          <w:rFonts w:ascii="Arial" w:hAnsi="Arial" w:cs="Arial"/>
          <w:sz w:val="20"/>
        </w:rPr>
      </w:pPr>
      <w:r w:rsidRPr="007E6A3F">
        <w:rPr>
          <w:rFonts w:ascii="Arial" w:hAnsi="Arial" w:cs="Arial"/>
          <w:sz w:val="20"/>
        </w:rPr>
        <w:t>Liaison and collaboration will be sought with the following regional organisations all around the world:</w:t>
      </w:r>
    </w:p>
    <w:p w14:paraId="7B3A83A8" w14:textId="77777777" w:rsidR="00E46006" w:rsidRPr="007E6A3F" w:rsidRDefault="00E46006" w:rsidP="00E46006">
      <w:pPr>
        <w:pStyle w:val="ListParagraph"/>
        <w:numPr>
          <w:ilvl w:val="1"/>
          <w:numId w:val="30"/>
        </w:numPr>
        <w:spacing w:after="160" w:line="259" w:lineRule="auto"/>
        <w:ind w:left="1800"/>
        <w:rPr>
          <w:rFonts w:ascii="Arial" w:hAnsi="Arial" w:cs="Arial"/>
          <w:sz w:val="20"/>
        </w:rPr>
      </w:pPr>
      <w:r w:rsidRPr="007E6A3F">
        <w:rPr>
          <w:rFonts w:ascii="Arial" w:hAnsi="Arial" w:cs="Arial"/>
          <w:sz w:val="20"/>
        </w:rPr>
        <w:t xml:space="preserve">The </w:t>
      </w:r>
      <w:hyperlink r:id="rId14" w:history="1">
        <w:r w:rsidRPr="007E6A3F">
          <w:rPr>
            <w:rStyle w:val="Hyperlink"/>
            <w:rFonts w:ascii="Arial" w:hAnsi="Arial" w:cs="Arial"/>
            <w:b/>
            <w:sz w:val="20"/>
          </w:rPr>
          <w:t>Asia PKI Consortium</w:t>
        </w:r>
      </w:hyperlink>
      <w:r w:rsidRPr="007E6A3F">
        <w:rPr>
          <w:rFonts w:ascii="Arial" w:hAnsi="Arial" w:cs="Arial"/>
          <w:b/>
          <w:sz w:val="20"/>
        </w:rPr>
        <w:t xml:space="preserve"> </w:t>
      </w:r>
      <w:r w:rsidRPr="007E6A3F">
        <w:rPr>
          <w:rFonts w:ascii="Arial" w:hAnsi="Arial" w:cs="Arial"/>
          <w:sz w:val="20"/>
        </w:rPr>
        <w:t>(APKIC) is transformed from Asia PKI Forum (APKIF), which was jointly established by Japan, China, Korea, Chinese Taipei and Singapore in June 2001. In addition to the PKI Trust Models, the Guidelines also list technical standards for the infrastructure, and the manner in which they should be adopted.</w:t>
      </w:r>
    </w:p>
    <w:p w14:paraId="0ED9B88C" w14:textId="77777777" w:rsidR="00E46006" w:rsidRPr="007E6A3F" w:rsidRDefault="00E46006" w:rsidP="00E46006">
      <w:pPr>
        <w:pStyle w:val="ListParagraph"/>
        <w:ind w:left="1800"/>
        <w:rPr>
          <w:rFonts w:ascii="Arial" w:hAnsi="Arial" w:cs="Arial"/>
          <w:sz w:val="20"/>
        </w:rPr>
      </w:pPr>
      <w:r w:rsidRPr="007E6A3F">
        <w:rPr>
          <w:rFonts w:ascii="Arial" w:hAnsi="Arial" w:cs="Arial"/>
          <w:b/>
          <w:sz w:val="20"/>
        </w:rPr>
        <w:t>Contact</w:t>
      </w:r>
      <w:r w:rsidRPr="007E6A3F">
        <w:rPr>
          <w:rFonts w:ascii="Arial" w:hAnsi="Arial" w:cs="Arial"/>
          <w:sz w:val="20"/>
        </w:rPr>
        <w:t xml:space="preserve">: Secretariat of APKIC, Ms. Eva Chan, </w:t>
      </w:r>
      <w:hyperlink r:id="rId15" w:history="1">
        <w:r w:rsidRPr="007E6A3F">
          <w:rPr>
            <w:rStyle w:val="Hyperlink"/>
            <w:rFonts w:ascii="Arial" w:hAnsi="Arial" w:cs="Arial"/>
            <w:sz w:val="20"/>
          </w:rPr>
          <w:t>evachan@hkpkiforum.org.hk</w:t>
        </w:r>
      </w:hyperlink>
      <w:r w:rsidRPr="007E6A3F">
        <w:rPr>
          <w:rFonts w:ascii="Arial" w:hAnsi="Arial" w:cs="Arial"/>
          <w:sz w:val="20"/>
        </w:rPr>
        <w:t xml:space="preserve">. </w:t>
      </w:r>
    </w:p>
    <w:p w14:paraId="518997B8" w14:textId="77777777" w:rsidR="00E46006" w:rsidRPr="007E6A3F" w:rsidRDefault="00E46006" w:rsidP="00E46006">
      <w:pPr>
        <w:pStyle w:val="ListParagraph"/>
        <w:ind w:left="1800"/>
        <w:rPr>
          <w:rFonts w:ascii="Arial" w:hAnsi="Arial" w:cs="Arial"/>
          <w:sz w:val="20"/>
        </w:rPr>
      </w:pPr>
    </w:p>
    <w:p w14:paraId="268E44EA" w14:textId="77777777" w:rsidR="00E46006" w:rsidRPr="007E6A3F" w:rsidRDefault="008E1DCA" w:rsidP="00E46006">
      <w:pPr>
        <w:pStyle w:val="ListParagraph"/>
        <w:numPr>
          <w:ilvl w:val="1"/>
          <w:numId w:val="30"/>
        </w:numPr>
        <w:spacing w:after="160" w:line="259" w:lineRule="auto"/>
        <w:ind w:left="1800"/>
        <w:rPr>
          <w:rFonts w:ascii="Arial" w:hAnsi="Arial" w:cs="Arial"/>
          <w:sz w:val="20"/>
        </w:rPr>
      </w:pPr>
      <w:hyperlink r:id="rId16" w:history="1">
        <w:r w:rsidR="00E46006" w:rsidRPr="007E6A3F">
          <w:rPr>
            <w:rStyle w:val="Hyperlink"/>
            <w:rFonts w:ascii="Arial" w:hAnsi="Arial" w:cs="Arial"/>
            <w:b/>
            <w:sz w:val="20"/>
          </w:rPr>
          <w:t>ASEAN Community</w:t>
        </w:r>
      </w:hyperlink>
      <w:r w:rsidR="00E46006" w:rsidRPr="007E6A3F">
        <w:rPr>
          <w:rFonts w:ascii="Arial" w:hAnsi="Arial" w:cs="Arial"/>
          <w:sz w:val="20"/>
        </w:rPr>
        <w:t xml:space="preserve"> (Association of South East Asian Nations): The ASEAN Community groups ten Member States namely Indonesia, Malaysia, Philippines, Singapore, Thailand, Brunei Darussalam, Viet Nam, Lao PDR, Myanmar, and Cambodia. They established a CA-CA Interoperability Framework and project in ASEAN as part of the </w:t>
      </w:r>
      <w:proofErr w:type="spellStart"/>
      <w:r w:rsidR="00E46006" w:rsidRPr="007E6A3F">
        <w:rPr>
          <w:rFonts w:ascii="Arial" w:hAnsi="Arial" w:cs="Arial"/>
          <w:sz w:val="20"/>
        </w:rPr>
        <w:t>eASEAN</w:t>
      </w:r>
      <w:proofErr w:type="spellEnd"/>
      <w:r w:rsidR="00E46006" w:rsidRPr="007E6A3F">
        <w:rPr>
          <w:rFonts w:ascii="Arial" w:hAnsi="Arial" w:cs="Arial"/>
          <w:sz w:val="20"/>
        </w:rPr>
        <w:t xml:space="preserve"> initiative.</w:t>
      </w:r>
    </w:p>
    <w:p w14:paraId="3AF67B08" w14:textId="77777777" w:rsidR="00E46006" w:rsidRPr="007E6A3F" w:rsidRDefault="00E46006" w:rsidP="00E46006">
      <w:pPr>
        <w:pStyle w:val="ListParagraph"/>
        <w:ind w:left="1800"/>
        <w:rPr>
          <w:rFonts w:ascii="Arial" w:hAnsi="Arial" w:cs="Arial"/>
          <w:sz w:val="20"/>
        </w:rPr>
      </w:pPr>
      <w:r w:rsidRPr="007E6A3F">
        <w:rPr>
          <w:rFonts w:ascii="Arial" w:hAnsi="Arial" w:cs="Arial"/>
          <w:b/>
          <w:sz w:val="20"/>
        </w:rPr>
        <w:t>Contact</w:t>
      </w:r>
      <w:r w:rsidRPr="007E6A3F">
        <w:rPr>
          <w:rFonts w:ascii="Arial" w:hAnsi="Arial" w:cs="Arial"/>
          <w:sz w:val="20"/>
        </w:rPr>
        <w:t xml:space="preserve">: Secretary-General of ASEAN, H.E. Le Luong Minh, c/o ASEAN Committee in Brussels, Ambassador of Malaysia to Belgium, </w:t>
      </w:r>
      <w:hyperlink r:id="rId17" w:history="1">
        <w:r w:rsidRPr="007E6A3F">
          <w:rPr>
            <w:rStyle w:val="Hyperlink"/>
            <w:rFonts w:ascii="Arial" w:hAnsi="Arial" w:cs="Arial"/>
            <w:sz w:val="20"/>
          </w:rPr>
          <w:t>malbrussels@kln.gov.my</w:t>
        </w:r>
      </w:hyperlink>
      <w:r w:rsidRPr="007E6A3F">
        <w:rPr>
          <w:rFonts w:ascii="Arial" w:hAnsi="Arial" w:cs="Arial"/>
          <w:sz w:val="20"/>
        </w:rPr>
        <w:t xml:space="preserve">. </w:t>
      </w:r>
    </w:p>
    <w:p w14:paraId="1CDABA53" w14:textId="77777777" w:rsidR="00E46006" w:rsidRPr="007E6A3F" w:rsidRDefault="00E46006" w:rsidP="00E46006">
      <w:pPr>
        <w:pStyle w:val="ListParagraph"/>
        <w:ind w:left="1800"/>
        <w:rPr>
          <w:rFonts w:ascii="Arial" w:hAnsi="Arial" w:cs="Arial"/>
          <w:sz w:val="20"/>
        </w:rPr>
      </w:pPr>
    </w:p>
    <w:p w14:paraId="0E2AC285" w14:textId="77777777" w:rsidR="00E46006" w:rsidRPr="007E6A3F" w:rsidRDefault="00E46006" w:rsidP="00E46006">
      <w:pPr>
        <w:pStyle w:val="ListParagraph"/>
        <w:numPr>
          <w:ilvl w:val="2"/>
          <w:numId w:val="30"/>
        </w:numPr>
        <w:spacing w:after="160" w:line="259" w:lineRule="auto"/>
        <w:ind w:left="1776"/>
        <w:rPr>
          <w:rFonts w:ascii="Arial" w:hAnsi="Arial" w:cs="Arial"/>
          <w:sz w:val="20"/>
        </w:rPr>
      </w:pPr>
      <w:r w:rsidRPr="007E6A3F">
        <w:rPr>
          <w:rFonts w:ascii="Arial" w:hAnsi="Arial" w:cs="Arial"/>
          <w:b/>
          <w:sz w:val="20"/>
        </w:rPr>
        <w:t>People's Republic of China</w:t>
      </w:r>
      <w:r w:rsidRPr="007E6A3F">
        <w:rPr>
          <w:rFonts w:ascii="Arial" w:hAnsi="Arial" w:cs="Arial"/>
          <w:sz w:val="20"/>
        </w:rPr>
        <w:t>: Following a series of workshops on the development of Electronic Certification Services Systems in the EU and China in 2008 and 2009, more recently an EU-China conference on mutual recognition of electronic signature certificates was organised in 2013 as part of the EU-China Trade Project II. EUCTP II is the third major EU-China trade related technical assistance project since 2000. From 2010 to 2015, project activities will support the Chinese government's trade reform and sustainable development agenda by working under the EU-China economic and trade dialogues, amongst other aspects, to facilitate harmonisation with international standards. It should be looked out whether the EU has plans for supporting/organising follow-up to such workshops.</w:t>
      </w:r>
    </w:p>
    <w:p w14:paraId="19751CEB" w14:textId="77777777" w:rsidR="00E46006" w:rsidRPr="007E6A3F" w:rsidRDefault="00E46006" w:rsidP="00E46006">
      <w:pPr>
        <w:pStyle w:val="ListParagraph"/>
        <w:ind w:left="1776"/>
        <w:rPr>
          <w:rFonts w:ascii="Arial" w:hAnsi="Arial" w:cs="Arial"/>
          <w:sz w:val="20"/>
        </w:rPr>
      </w:pPr>
      <w:r w:rsidRPr="007E6A3F">
        <w:rPr>
          <w:rFonts w:ascii="Arial" w:hAnsi="Arial" w:cs="Arial"/>
          <w:b/>
          <w:sz w:val="20"/>
        </w:rPr>
        <w:t>Contact</w:t>
      </w:r>
      <w:r w:rsidRPr="007E6A3F">
        <w:rPr>
          <w:rFonts w:ascii="Arial" w:hAnsi="Arial" w:cs="Arial"/>
          <w:sz w:val="20"/>
        </w:rPr>
        <w:t>: DG Trade</w:t>
      </w:r>
    </w:p>
    <w:p w14:paraId="3CE32A7B" w14:textId="77777777" w:rsidR="00E46006" w:rsidRPr="007E6A3F" w:rsidRDefault="00E46006" w:rsidP="00E46006">
      <w:pPr>
        <w:pStyle w:val="ListParagraph"/>
        <w:ind w:left="1776"/>
        <w:rPr>
          <w:rFonts w:ascii="Arial" w:hAnsi="Arial" w:cs="Arial"/>
          <w:sz w:val="20"/>
        </w:rPr>
      </w:pPr>
    </w:p>
    <w:p w14:paraId="71E1729E" w14:textId="77777777" w:rsidR="00E46006" w:rsidRPr="007E6A3F" w:rsidRDefault="00E46006" w:rsidP="00E46006">
      <w:pPr>
        <w:pStyle w:val="ListParagraph"/>
        <w:numPr>
          <w:ilvl w:val="2"/>
          <w:numId w:val="30"/>
        </w:numPr>
        <w:spacing w:after="160" w:line="259" w:lineRule="auto"/>
        <w:ind w:left="1776"/>
        <w:rPr>
          <w:rFonts w:ascii="Arial" w:hAnsi="Arial" w:cs="Arial"/>
          <w:sz w:val="20"/>
        </w:rPr>
      </w:pPr>
      <w:r w:rsidRPr="007E6A3F">
        <w:rPr>
          <w:rFonts w:ascii="Arial" w:hAnsi="Arial" w:cs="Arial"/>
          <w:b/>
          <w:sz w:val="20"/>
        </w:rPr>
        <w:lastRenderedPageBreak/>
        <w:t>Office of the Government Chief Information Officer of the Government of the Hong Kong Special Administrative Region</w:t>
      </w:r>
      <w:r w:rsidRPr="007E6A3F">
        <w:rPr>
          <w:rFonts w:ascii="Arial" w:hAnsi="Arial" w:cs="Arial"/>
          <w:sz w:val="20"/>
        </w:rPr>
        <w:t xml:space="preserve"> - Guangdong-Honk Kong mutual recognition arrangement: To better protect the interest of users of certification services and enhance their confidence in electronic transactions, a Voluntary Certification Authority Recognition Scheme was established by the Government of the Hong Kong Special Administrative Region pursuant to the Electronic Transactions Ordinance ("ETO"). A Trust List sets out the certificate types that have been granted mutual recognition status, method for verification of mutual recognition status and detailed verification information provided by the issuing recognised certification authorities.</w:t>
      </w:r>
    </w:p>
    <w:p w14:paraId="70F7119B" w14:textId="77777777" w:rsidR="00E46006" w:rsidRPr="007E6A3F" w:rsidRDefault="00E46006" w:rsidP="00E46006">
      <w:pPr>
        <w:pStyle w:val="ListParagraph"/>
        <w:ind w:left="1776"/>
        <w:rPr>
          <w:rFonts w:ascii="Arial" w:hAnsi="Arial" w:cs="Arial"/>
          <w:sz w:val="20"/>
        </w:rPr>
      </w:pPr>
      <w:r w:rsidRPr="007E6A3F">
        <w:rPr>
          <w:rFonts w:ascii="Arial" w:hAnsi="Arial" w:cs="Arial"/>
          <w:b/>
          <w:sz w:val="20"/>
        </w:rPr>
        <w:t>Contact</w:t>
      </w:r>
      <w:r w:rsidRPr="007E6A3F">
        <w:rPr>
          <w:rFonts w:ascii="Arial" w:hAnsi="Arial" w:cs="Arial"/>
          <w:sz w:val="20"/>
        </w:rPr>
        <w:t xml:space="preserve">: Certification Authority Recognition Office, Office of the Government Chief Information Officer, </w:t>
      </w:r>
      <w:hyperlink r:id="rId18" w:history="1">
        <w:r w:rsidRPr="007E6A3F">
          <w:rPr>
            <w:rStyle w:val="Hyperlink"/>
            <w:rFonts w:ascii="Arial" w:hAnsi="Arial" w:cs="Arial"/>
            <w:sz w:val="20"/>
          </w:rPr>
          <w:t>caro@ogcio.gov.hk</w:t>
        </w:r>
      </w:hyperlink>
      <w:r w:rsidRPr="007E6A3F">
        <w:rPr>
          <w:rFonts w:ascii="Arial" w:hAnsi="Arial" w:cs="Arial"/>
          <w:sz w:val="20"/>
        </w:rPr>
        <w:t xml:space="preserve">. </w:t>
      </w:r>
    </w:p>
    <w:p w14:paraId="516B4B0A" w14:textId="77777777" w:rsidR="00E46006" w:rsidRPr="007E6A3F" w:rsidRDefault="00E46006" w:rsidP="00E46006">
      <w:pPr>
        <w:pStyle w:val="ListParagraph"/>
        <w:ind w:left="2124"/>
        <w:rPr>
          <w:rFonts w:ascii="Arial" w:hAnsi="Arial" w:cs="Arial"/>
          <w:sz w:val="20"/>
        </w:rPr>
      </w:pPr>
    </w:p>
    <w:p w14:paraId="1C2A8F7C" w14:textId="11384B4C" w:rsidR="00E46006" w:rsidRDefault="00E46006" w:rsidP="00E46006">
      <w:pPr>
        <w:pStyle w:val="ListParagraph"/>
        <w:numPr>
          <w:ilvl w:val="1"/>
          <w:numId w:val="30"/>
        </w:numPr>
        <w:spacing w:after="160" w:line="259" w:lineRule="auto"/>
        <w:rPr>
          <w:rFonts w:ascii="Arial" w:hAnsi="Arial" w:cs="Arial"/>
          <w:sz w:val="20"/>
        </w:rPr>
      </w:pPr>
      <w:r w:rsidRPr="007E6A3F">
        <w:rPr>
          <w:rFonts w:ascii="Arial" w:hAnsi="Arial" w:cs="Arial"/>
          <w:sz w:val="20"/>
        </w:rPr>
        <w:t>Japan: The JIPDEC in Japan not only adopted the ETSI TS 102 042 CP, they also implemented an Audit scheme based on the ETSI Framework.</w:t>
      </w:r>
      <w:r w:rsidRPr="007E6A3F">
        <w:rPr>
          <w:rFonts w:ascii="Arial" w:hAnsi="Arial" w:cs="Arial"/>
          <w:sz w:val="20"/>
        </w:rPr>
        <w:br/>
        <w:t xml:space="preserve">Contact:  </w:t>
      </w:r>
      <w:hyperlink r:id="rId19" w:history="1">
        <w:r w:rsidR="008207D1" w:rsidRPr="001E4CF2">
          <w:rPr>
            <w:rStyle w:val="Hyperlink"/>
            <w:rFonts w:ascii="Arial" w:hAnsi="Arial" w:cs="Arial"/>
            <w:sz w:val="20"/>
          </w:rPr>
          <w:t>s.hamaguchi@cosmos-corp.com</w:t>
        </w:r>
      </w:hyperlink>
    </w:p>
    <w:p w14:paraId="51D13586" w14:textId="77777777" w:rsidR="008207D1" w:rsidRPr="007E6A3F" w:rsidRDefault="008207D1" w:rsidP="008207D1">
      <w:pPr>
        <w:pStyle w:val="ListParagraph"/>
        <w:spacing w:after="160" w:line="259" w:lineRule="auto"/>
        <w:ind w:left="1485"/>
        <w:rPr>
          <w:rFonts w:ascii="Arial" w:hAnsi="Arial" w:cs="Arial"/>
          <w:sz w:val="20"/>
        </w:rPr>
      </w:pPr>
    </w:p>
    <w:p w14:paraId="27CF3B26" w14:textId="77777777" w:rsidR="00E46006" w:rsidRPr="007E6A3F" w:rsidRDefault="00E46006" w:rsidP="00E46006">
      <w:pPr>
        <w:pStyle w:val="ListParagraph"/>
        <w:numPr>
          <w:ilvl w:val="0"/>
          <w:numId w:val="30"/>
        </w:numPr>
        <w:spacing w:after="160" w:line="259" w:lineRule="auto"/>
        <w:ind w:left="1080"/>
        <w:rPr>
          <w:rFonts w:ascii="Arial" w:hAnsi="Arial" w:cs="Arial"/>
          <w:b/>
          <w:sz w:val="20"/>
        </w:rPr>
      </w:pPr>
      <w:r w:rsidRPr="007E6A3F">
        <w:rPr>
          <w:rFonts w:ascii="Arial" w:hAnsi="Arial" w:cs="Arial"/>
          <w:b/>
          <w:sz w:val="20"/>
        </w:rPr>
        <w:t>Middle East</w:t>
      </w:r>
    </w:p>
    <w:p w14:paraId="541CF5FF" w14:textId="77777777" w:rsidR="00E46006" w:rsidRPr="007E6A3F" w:rsidRDefault="008E1DCA" w:rsidP="00E46006">
      <w:pPr>
        <w:pStyle w:val="ListParagraph"/>
        <w:numPr>
          <w:ilvl w:val="1"/>
          <w:numId w:val="30"/>
        </w:numPr>
        <w:spacing w:after="160" w:line="259" w:lineRule="auto"/>
        <w:ind w:left="1800"/>
        <w:rPr>
          <w:rFonts w:ascii="Arial" w:hAnsi="Arial" w:cs="Arial"/>
          <w:sz w:val="20"/>
        </w:rPr>
      </w:pPr>
      <w:hyperlink r:id="rId20" w:history="1">
        <w:r w:rsidR="00E46006" w:rsidRPr="007E6A3F">
          <w:rPr>
            <w:rStyle w:val="Hyperlink"/>
            <w:rFonts w:ascii="Arial" w:hAnsi="Arial" w:cs="Arial"/>
            <w:b/>
            <w:sz w:val="20"/>
          </w:rPr>
          <w:t>Arab PKI Forum</w:t>
        </w:r>
      </w:hyperlink>
      <w:r w:rsidR="00E46006" w:rsidRPr="007E6A3F">
        <w:rPr>
          <w:rFonts w:ascii="Arial" w:hAnsi="Arial" w:cs="Arial"/>
          <w:sz w:val="20"/>
        </w:rPr>
        <w:t>: The Arab ICT Organization “AICTO” 17 Arab countries out of 22 members of the League of Arab States. They have set up the “Arab Network” of Electronic Certification Bodies in the region with the objectives of</w:t>
      </w:r>
    </w:p>
    <w:p w14:paraId="761625A1" w14:textId="77777777" w:rsidR="00E46006" w:rsidRPr="007E6A3F" w:rsidRDefault="00E46006" w:rsidP="00E46006">
      <w:pPr>
        <w:pStyle w:val="ListParagraph"/>
        <w:numPr>
          <w:ilvl w:val="2"/>
          <w:numId w:val="30"/>
        </w:numPr>
        <w:spacing w:after="160" w:line="259" w:lineRule="auto"/>
        <w:ind w:left="2520"/>
        <w:rPr>
          <w:rFonts w:ascii="Arial" w:hAnsi="Arial" w:cs="Arial"/>
          <w:sz w:val="20"/>
        </w:rPr>
      </w:pPr>
      <w:r w:rsidRPr="007E6A3F">
        <w:rPr>
          <w:rFonts w:ascii="Arial" w:hAnsi="Arial" w:cs="Arial"/>
          <w:sz w:val="20"/>
        </w:rPr>
        <w:t>Gathering the Arab agencies/bodies of e-certification and PKI within a common network to exchange the related experiences between Arab countries.</w:t>
      </w:r>
    </w:p>
    <w:p w14:paraId="4AAE8434" w14:textId="77777777" w:rsidR="00E46006" w:rsidRPr="007E6A3F" w:rsidRDefault="00E46006" w:rsidP="00E46006">
      <w:pPr>
        <w:pStyle w:val="ListParagraph"/>
        <w:numPr>
          <w:ilvl w:val="2"/>
          <w:numId w:val="30"/>
        </w:numPr>
        <w:spacing w:after="160" w:line="259" w:lineRule="auto"/>
        <w:ind w:left="2520"/>
        <w:rPr>
          <w:rFonts w:ascii="Arial" w:hAnsi="Arial" w:cs="Arial"/>
          <w:sz w:val="20"/>
        </w:rPr>
      </w:pPr>
      <w:r w:rsidRPr="007E6A3F">
        <w:rPr>
          <w:rFonts w:ascii="Arial" w:hAnsi="Arial" w:cs="Arial"/>
          <w:sz w:val="20"/>
        </w:rPr>
        <w:t>Establishing regional conventions ensuring the mutual recognition of the digital signatures even between Arab countries or other foreign countries.</w:t>
      </w:r>
    </w:p>
    <w:p w14:paraId="24129C54" w14:textId="77777777" w:rsidR="00E46006" w:rsidRPr="007E6A3F" w:rsidRDefault="00E46006" w:rsidP="00E46006">
      <w:pPr>
        <w:pStyle w:val="ListParagraph"/>
        <w:numPr>
          <w:ilvl w:val="2"/>
          <w:numId w:val="30"/>
        </w:numPr>
        <w:spacing w:after="160" w:line="259" w:lineRule="auto"/>
        <w:ind w:left="2520"/>
        <w:rPr>
          <w:rFonts w:ascii="Arial" w:hAnsi="Arial" w:cs="Arial"/>
          <w:sz w:val="20"/>
        </w:rPr>
      </w:pPr>
      <w:r w:rsidRPr="007E6A3F">
        <w:rPr>
          <w:rFonts w:ascii="Arial" w:hAnsi="Arial" w:cs="Arial"/>
          <w:sz w:val="20"/>
        </w:rPr>
        <w:t>Harmonizing laws related to e-signature and e-transactions between Arab countries on the one hand and with the laws of the European Union on the other hand.</w:t>
      </w:r>
    </w:p>
    <w:p w14:paraId="79040965" w14:textId="77777777" w:rsidR="00E46006" w:rsidRPr="007E6A3F" w:rsidRDefault="00E46006" w:rsidP="00E46006">
      <w:pPr>
        <w:pStyle w:val="ListParagraph"/>
        <w:ind w:left="1800"/>
        <w:rPr>
          <w:rFonts w:ascii="Arial" w:hAnsi="Arial" w:cs="Arial"/>
          <w:sz w:val="20"/>
        </w:rPr>
      </w:pPr>
      <w:r w:rsidRPr="007E6A3F">
        <w:rPr>
          <w:rFonts w:ascii="Arial" w:hAnsi="Arial" w:cs="Arial"/>
          <w:b/>
          <w:sz w:val="20"/>
        </w:rPr>
        <w:t>Contact</w:t>
      </w:r>
      <w:r w:rsidRPr="007E6A3F">
        <w:rPr>
          <w:rFonts w:ascii="Arial" w:hAnsi="Arial" w:cs="Arial"/>
          <w:sz w:val="20"/>
        </w:rPr>
        <w:t xml:space="preserve">: Engineer Mohamed Ben Amor, Secretary-General of the Arab ICT Organization, </w:t>
      </w:r>
      <w:hyperlink r:id="rId21" w:history="1">
        <w:r w:rsidRPr="007E6A3F">
          <w:rPr>
            <w:rStyle w:val="Hyperlink"/>
            <w:rFonts w:ascii="Arial" w:hAnsi="Arial" w:cs="Arial"/>
            <w:sz w:val="20"/>
          </w:rPr>
          <w:t>contact@aicto.org</w:t>
        </w:r>
      </w:hyperlink>
      <w:r w:rsidRPr="007E6A3F">
        <w:rPr>
          <w:rFonts w:ascii="Arial" w:hAnsi="Arial" w:cs="Arial"/>
          <w:sz w:val="20"/>
        </w:rPr>
        <w:t xml:space="preserve">. </w:t>
      </w:r>
    </w:p>
    <w:p w14:paraId="2AE96174" w14:textId="77777777" w:rsidR="00E46006" w:rsidRPr="007E6A3F" w:rsidRDefault="00E46006" w:rsidP="00E46006">
      <w:pPr>
        <w:pStyle w:val="ListParagraph"/>
        <w:ind w:left="1800"/>
        <w:rPr>
          <w:rFonts w:ascii="Arial" w:hAnsi="Arial" w:cs="Arial"/>
          <w:sz w:val="20"/>
        </w:rPr>
      </w:pPr>
    </w:p>
    <w:p w14:paraId="564C590F" w14:textId="77777777" w:rsidR="00E46006" w:rsidRPr="007E6A3F" w:rsidRDefault="00E46006" w:rsidP="00E46006">
      <w:pPr>
        <w:pStyle w:val="ListParagraph"/>
        <w:numPr>
          <w:ilvl w:val="1"/>
          <w:numId w:val="30"/>
        </w:numPr>
        <w:spacing w:after="160" w:line="259" w:lineRule="auto"/>
        <w:ind w:left="1800"/>
        <w:rPr>
          <w:rFonts w:ascii="Arial" w:hAnsi="Arial" w:cs="Arial"/>
          <w:sz w:val="20"/>
        </w:rPr>
      </w:pPr>
      <w:r w:rsidRPr="007E6A3F">
        <w:rPr>
          <w:rFonts w:ascii="Arial" w:hAnsi="Arial" w:cs="Arial"/>
          <w:b/>
          <w:sz w:val="20"/>
        </w:rPr>
        <w:t>GCC countries</w:t>
      </w:r>
      <w:r w:rsidRPr="007E6A3F">
        <w:rPr>
          <w:rFonts w:ascii="Arial" w:hAnsi="Arial" w:cs="Arial"/>
          <w:sz w:val="20"/>
        </w:rPr>
        <w:t xml:space="preserve">: All six GCC countries have each initiated modern Identity management systems to develop a new personal identification card that would act as the trusted identification document. Each of them have set up a national PKI certification authority enabling </w:t>
      </w:r>
      <w:proofErr w:type="spellStart"/>
      <w:r w:rsidRPr="007E6A3F">
        <w:rPr>
          <w:rFonts w:ascii="Arial" w:hAnsi="Arial" w:cs="Arial"/>
          <w:sz w:val="20"/>
        </w:rPr>
        <w:t>eAuthentication</w:t>
      </w:r>
      <w:proofErr w:type="spellEnd"/>
      <w:r w:rsidRPr="007E6A3F">
        <w:rPr>
          <w:rFonts w:ascii="Arial" w:hAnsi="Arial" w:cs="Arial"/>
          <w:sz w:val="20"/>
        </w:rPr>
        <w:t xml:space="preserve"> and digital signatures. Interoperability and alignment of policies and practices is part of the general GCC ICT interoperability model. Most of the national PKIs aim to align to international standards and conformity assessment practices.</w:t>
      </w:r>
    </w:p>
    <w:p w14:paraId="4A017DF3" w14:textId="77777777" w:rsidR="00E46006" w:rsidRPr="007E6A3F" w:rsidRDefault="00E46006" w:rsidP="00E46006">
      <w:pPr>
        <w:pStyle w:val="ListParagraph"/>
        <w:ind w:left="1800"/>
        <w:rPr>
          <w:rFonts w:ascii="Arial" w:hAnsi="Arial" w:cs="Arial"/>
          <w:sz w:val="20"/>
        </w:rPr>
      </w:pPr>
      <w:r w:rsidRPr="007E6A3F">
        <w:rPr>
          <w:rFonts w:ascii="Arial" w:hAnsi="Arial" w:cs="Arial"/>
          <w:b/>
          <w:sz w:val="20"/>
        </w:rPr>
        <w:t>Contacts</w:t>
      </w:r>
      <w:r w:rsidRPr="007E6A3F">
        <w:rPr>
          <w:rFonts w:ascii="Arial" w:hAnsi="Arial" w:cs="Arial"/>
          <w:sz w:val="20"/>
        </w:rPr>
        <w:t xml:space="preserve">: </w:t>
      </w:r>
    </w:p>
    <w:p w14:paraId="3649A387" w14:textId="77777777" w:rsidR="00E46006" w:rsidRPr="007E6A3F" w:rsidRDefault="00E46006" w:rsidP="00E46006">
      <w:pPr>
        <w:pStyle w:val="ListParagraph"/>
        <w:numPr>
          <w:ilvl w:val="2"/>
          <w:numId w:val="30"/>
        </w:numPr>
        <w:spacing w:after="160" w:line="259" w:lineRule="auto"/>
        <w:ind w:left="2520"/>
        <w:rPr>
          <w:rFonts w:ascii="Arial" w:hAnsi="Arial" w:cs="Arial"/>
          <w:sz w:val="20"/>
        </w:rPr>
      </w:pPr>
      <w:r w:rsidRPr="007E6A3F">
        <w:rPr>
          <w:rFonts w:ascii="Arial" w:hAnsi="Arial" w:cs="Arial"/>
          <w:sz w:val="20"/>
        </w:rPr>
        <w:t xml:space="preserve">Samir </w:t>
      </w:r>
      <w:proofErr w:type="spellStart"/>
      <w:r w:rsidRPr="007E6A3F">
        <w:rPr>
          <w:rFonts w:ascii="Arial" w:hAnsi="Arial" w:cs="Arial"/>
          <w:sz w:val="20"/>
        </w:rPr>
        <w:t>Pawaskar</w:t>
      </w:r>
      <w:proofErr w:type="spellEnd"/>
      <w:r w:rsidRPr="007E6A3F">
        <w:rPr>
          <w:rFonts w:ascii="Arial" w:hAnsi="Arial" w:cs="Arial"/>
          <w:sz w:val="20"/>
        </w:rPr>
        <w:t xml:space="preserve">, CS Policy and Standards Section Head, State of Qatar, </w:t>
      </w:r>
      <w:proofErr w:type="spellStart"/>
      <w:r w:rsidRPr="007E6A3F">
        <w:rPr>
          <w:rFonts w:ascii="Arial" w:hAnsi="Arial" w:cs="Arial"/>
          <w:sz w:val="20"/>
        </w:rPr>
        <w:t>ictQatar</w:t>
      </w:r>
      <w:proofErr w:type="spellEnd"/>
      <w:r w:rsidRPr="007E6A3F">
        <w:rPr>
          <w:rFonts w:ascii="Arial" w:hAnsi="Arial" w:cs="Arial"/>
          <w:sz w:val="20"/>
        </w:rPr>
        <w:t>, Ministry of Transport and Communications, spawaskar@motc.gov.qa</w:t>
      </w:r>
    </w:p>
    <w:p w14:paraId="42133A20" w14:textId="77777777" w:rsidR="00E46006" w:rsidRPr="007E6A3F" w:rsidRDefault="00E46006" w:rsidP="00E46006">
      <w:pPr>
        <w:pStyle w:val="ListParagraph"/>
        <w:numPr>
          <w:ilvl w:val="2"/>
          <w:numId w:val="30"/>
        </w:numPr>
        <w:spacing w:after="160" w:line="259" w:lineRule="auto"/>
        <w:ind w:left="2520"/>
        <w:rPr>
          <w:rStyle w:val="Hyperlink"/>
          <w:rFonts w:ascii="Arial" w:hAnsi="Arial" w:cs="Arial"/>
          <w:sz w:val="20"/>
        </w:rPr>
      </w:pPr>
      <w:proofErr w:type="spellStart"/>
      <w:r w:rsidRPr="007E6A3F">
        <w:rPr>
          <w:rFonts w:ascii="Arial" w:hAnsi="Arial" w:cs="Arial"/>
          <w:sz w:val="20"/>
        </w:rPr>
        <w:t>Dr.</w:t>
      </w:r>
      <w:proofErr w:type="spellEnd"/>
      <w:r w:rsidRPr="007E6A3F">
        <w:rPr>
          <w:rFonts w:ascii="Arial" w:hAnsi="Arial" w:cs="Arial"/>
          <w:sz w:val="20"/>
        </w:rPr>
        <w:t xml:space="preserve"> Ali M. Al-Khouri, Director General, Emirates Identity Authority, United Arab Emirates, </w:t>
      </w:r>
      <w:hyperlink r:id="rId22" w:history="1">
        <w:r w:rsidRPr="007E6A3F">
          <w:rPr>
            <w:rStyle w:val="Hyperlink"/>
            <w:rFonts w:ascii="Arial" w:hAnsi="Arial" w:cs="Arial"/>
            <w:sz w:val="20"/>
          </w:rPr>
          <w:t>ali.alkhouri@emiratesid.ae</w:t>
        </w:r>
      </w:hyperlink>
    </w:p>
    <w:p w14:paraId="76A9AD6C" w14:textId="77777777" w:rsidR="00E46006" w:rsidRPr="007E6A3F" w:rsidRDefault="00E46006" w:rsidP="00E46006">
      <w:pPr>
        <w:pStyle w:val="ListParagraph"/>
        <w:spacing w:after="160" w:line="259" w:lineRule="auto"/>
        <w:ind w:left="2520"/>
        <w:rPr>
          <w:rFonts w:ascii="Arial" w:hAnsi="Arial" w:cs="Arial"/>
          <w:sz w:val="20"/>
        </w:rPr>
      </w:pPr>
    </w:p>
    <w:p w14:paraId="666EF33B" w14:textId="77777777" w:rsidR="00E46006" w:rsidRPr="007E6A3F" w:rsidRDefault="00E46006" w:rsidP="00E46006">
      <w:pPr>
        <w:pStyle w:val="ListParagraph"/>
        <w:numPr>
          <w:ilvl w:val="0"/>
          <w:numId w:val="30"/>
        </w:numPr>
        <w:spacing w:after="160" w:line="259" w:lineRule="auto"/>
        <w:ind w:left="1080"/>
        <w:rPr>
          <w:rFonts w:ascii="Arial" w:hAnsi="Arial" w:cs="Arial"/>
          <w:sz w:val="20"/>
        </w:rPr>
      </w:pPr>
      <w:r w:rsidRPr="007E6A3F">
        <w:rPr>
          <w:rFonts w:ascii="Arial" w:hAnsi="Arial" w:cs="Arial"/>
          <w:b/>
          <w:sz w:val="20"/>
        </w:rPr>
        <w:t>Africa</w:t>
      </w:r>
      <w:r w:rsidRPr="007E6A3F">
        <w:rPr>
          <w:rFonts w:ascii="Arial" w:hAnsi="Arial" w:cs="Arial"/>
          <w:sz w:val="20"/>
        </w:rPr>
        <w:t>:</w:t>
      </w:r>
    </w:p>
    <w:p w14:paraId="497606F5" w14:textId="77777777" w:rsidR="00E46006" w:rsidRPr="007E6A3F" w:rsidRDefault="008E1DCA" w:rsidP="00E46006">
      <w:pPr>
        <w:pStyle w:val="ListParagraph"/>
        <w:numPr>
          <w:ilvl w:val="1"/>
          <w:numId w:val="30"/>
        </w:numPr>
        <w:spacing w:after="160" w:line="259" w:lineRule="auto"/>
        <w:ind w:left="1800"/>
        <w:rPr>
          <w:rFonts w:ascii="Arial" w:hAnsi="Arial" w:cs="Arial"/>
          <w:sz w:val="20"/>
        </w:rPr>
      </w:pPr>
      <w:hyperlink r:id="rId23" w:history="1">
        <w:r w:rsidR="00E46006" w:rsidRPr="007E6A3F">
          <w:rPr>
            <w:rStyle w:val="Hyperlink"/>
            <w:rFonts w:ascii="Arial" w:hAnsi="Arial" w:cs="Arial"/>
            <w:sz w:val="20"/>
          </w:rPr>
          <w:t>COMESA</w:t>
        </w:r>
      </w:hyperlink>
      <w:r w:rsidR="00E46006" w:rsidRPr="007E6A3F">
        <w:rPr>
          <w:rFonts w:ascii="Arial" w:hAnsi="Arial" w:cs="Arial"/>
          <w:sz w:val="20"/>
        </w:rPr>
        <w:t>: The Common Market for Eastern and Southern Africa (COMESA) is a free trade area that comprises of 19 Member States from North to South of Africa) that came together with the aim of Promoting Regional integration through trade and the development of natural and human resources for the benefit of all the people in the region. Key activities of the COMESA cybersecurity program include the production of guidelines for the “development of PKI legislations, regulations and standards” (2014-2015) and the establishment of a regional Controller of Certification Authorities (2016). The key activities roadmap also includes the organisation of training of trainers for the judicial system with Council of Europe (not done yet as of May 2016).</w:t>
      </w:r>
    </w:p>
    <w:p w14:paraId="4FF5CDC1" w14:textId="77777777" w:rsidR="00E46006" w:rsidRPr="007E6A3F" w:rsidRDefault="00E46006" w:rsidP="00E46006">
      <w:pPr>
        <w:pStyle w:val="ListParagraph"/>
        <w:ind w:left="1800"/>
        <w:rPr>
          <w:rFonts w:ascii="Arial" w:hAnsi="Arial" w:cs="Arial"/>
          <w:sz w:val="20"/>
        </w:rPr>
      </w:pPr>
      <w:r w:rsidRPr="007E6A3F">
        <w:rPr>
          <w:rFonts w:ascii="Arial" w:hAnsi="Arial" w:cs="Arial"/>
          <w:b/>
          <w:sz w:val="20"/>
        </w:rPr>
        <w:lastRenderedPageBreak/>
        <w:t>Contact</w:t>
      </w:r>
      <w:r w:rsidRPr="007E6A3F">
        <w:rPr>
          <w:rFonts w:ascii="Arial" w:hAnsi="Arial" w:cs="Arial"/>
          <w:sz w:val="20"/>
        </w:rPr>
        <w:t xml:space="preserve">: Leonard </w:t>
      </w:r>
      <w:proofErr w:type="spellStart"/>
      <w:r w:rsidRPr="007E6A3F">
        <w:rPr>
          <w:rFonts w:ascii="Arial" w:hAnsi="Arial" w:cs="Arial"/>
          <w:sz w:val="20"/>
        </w:rPr>
        <w:t>Chitundu</w:t>
      </w:r>
      <w:proofErr w:type="spellEnd"/>
      <w:r w:rsidRPr="007E6A3F">
        <w:rPr>
          <w:rFonts w:ascii="Arial" w:hAnsi="Arial" w:cs="Arial"/>
          <w:sz w:val="20"/>
        </w:rPr>
        <w:t xml:space="preserve"> – Telecommunications Officer COMESA Secretariat, </w:t>
      </w:r>
      <w:hyperlink r:id="rId24" w:history="1">
        <w:r w:rsidRPr="007E6A3F">
          <w:rPr>
            <w:rStyle w:val="Hyperlink"/>
            <w:rFonts w:ascii="Arial" w:hAnsi="Arial" w:cs="Arial"/>
            <w:sz w:val="20"/>
          </w:rPr>
          <w:t>info@comesa.int</w:t>
        </w:r>
      </w:hyperlink>
      <w:r w:rsidRPr="007E6A3F">
        <w:rPr>
          <w:rFonts w:ascii="Arial" w:hAnsi="Arial" w:cs="Arial"/>
          <w:sz w:val="20"/>
        </w:rPr>
        <w:t xml:space="preserve">. </w:t>
      </w:r>
    </w:p>
    <w:p w14:paraId="23E33C68" w14:textId="77777777" w:rsidR="00E46006" w:rsidRPr="007E6A3F" w:rsidRDefault="00E46006" w:rsidP="00E46006">
      <w:pPr>
        <w:pStyle w:val="ListParagraph"/>
        <w:spacing w:after="160" w:line="259" w:lineRule="auto"/>
        <w:ind w:left="1080"/>
        <w:rPr>
          <w:rFonts w:ascii="Arial" w:hAnsi="Arial" w:cs="Arial"/>
          <w:b/>
          <w:sz w:val="20"/>
        </w:rPr>
      </w:pPr>
    </w:p>
    <w:p w14:paraId="5F912CB5" w14:textId="77777777" w:rsidR="00E46006" w:rsidRPr="007E6A3F" w:rsidRDefault="00E46006" w:rsidP="00E46006">
      <w:pPr>
        <w:rPr>
          <w:rFonts w:cs="Arial"/>
        </w:rPr>
      </w:pPr>
    </w:p>
    <w:p w14:paraId="7F4F960F" w14:textId="77777777" w:rsidR="00052A10" w:rsidRPr="00052A10" w:rsidRDefault="00052A10" w:rsidP="00052A10">
      <w:pPr>
        <w:pStyle w:val="Heading1"/>
        <w:keepLines w:val="0"/>
        <w:numPr>
          <w:ilvl w:val="0"/>
          <w:numId w:val="19"/>
        </w:numPr>
        <w:tabs>
          <w:tab w:val="clear" w:pos="1418"/>
        </w:tabs>
        <w:overflowPunct/>
        <w:autoSpaceDE/>
        <w:autoSpaceDN/>
        <w:adjustRightInd/>
        <w:textAlignment w:val="auto"/>
      </w:pPr>
      <w:r w:rsidRPr="00052A10">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417"/>
        <w:gridCol w:w="1985"/>
        <w:gridCol w:w="3543"/>
      </w:tblGrid>
      <w:tr w:rsidR="00052A10" w:rsidRPr="00531E42" w14:paraId="52A0FE48" w14:textId="77777777" w:rsidTr="00052A10">
        <w:tc>
          <w:tcPr>
            <w:tcW w:w="606" w:type="dxa"/>
            <w:vAlign w:val="center"/>
          </w:tcPr>
          <w:p w14:paraId="2B3CBA35" w14:textId="77777777" w:rsidR="00052A10" w:rsidRPr="00531E42" w:rsidRDefault="00052A10" w:rsidP="00052A10">
            <w:pPr>
              <w:pStyle w:val="TF"/>
              <w:keepNext/>
              <w:tabs>
                <w:tab w:val="left" w:pos="1418"/>
                <w:tab w:val="left" w:pos="4678"/>
                <w:tab w:val="left" w:pos="5954"/>
                <w:tab w:val="left" w:pos="7088"/>
              </w:tabs>
              <w:spacing w:after="0"/>
              <w:rPr>
                <w:rFonts w:cs="Arial"/>
                <w:b w:val="0"/>
                <w:bCs/>
                <w:lang w:val="fr-FR"/>
              </w:rPr>
            </w:pPr>
          </w:p>
        </w:tc>
        <w:tc>
          <w:tcPr>
            <w:tcW w:w="1629" w:type="dxa"/>
            <w:vAlign w:val="center"/>
          </w:tcPr>
          <w:p w14:paraId="53C0475D" w14:textId="77777777" w:rsidR="00052A10" w:rsidRPr="00531E42" w:rsidRDefault="00052A10" w:rsidP="00052A10">
            <w:pPr>
              <w:keepNext/>
              <w:keepLines/>
              <w:jc w:val="center"/>
              <w:rPr>
                <w:rFonts w:cs="Arial"/>
                <w:b/>
                <w:bCs/>
              </w:rPr>
            </w:pPr>
            <w:r w:rsidRPr="00531E42">
              <w:rPr>
                <w:rFonts w:cs="Arial"/>
                <w:b/>
                <w:bCs/>
              </w:rPr>
              <w:t>Date</w:t>
            </w:r>
          </w:p>
        </w:tc>
        <w:tc>
          <w:tcPr>
            <w:tcW w:w="1417" w:type="dxa"/>
            <w:vAlign w:val="center"/>
          </w:tcPr>
          <w:p w14:paraId="127E98E6" w14:textId="77777777" w:rsidR="00052A10" w:rsidRPr="00531E42" w:rsidRDefault="00052A10" w:rsidP="00052A10">
            <w:pPr>
              <w:keepNext/>
              <w:keepLines/>
              <w:jc w:val="center"/>
              <w:rPr>
                <w:rFonts w:cs="Arial"/>
                <w:b/>
                <w:bCs/>
              </w:rPr>
            </w:pPr>
            <w:r w:rsidRPr="00531E42">
              <w:rPr>
                <w:rFonts w:cs="Arial"/>
                <w:b/>
                <w:bCs/>
              </w:rPr>
              <w:t>Author</w:t>
            </w:r>
          </w:p>
        </w:tc>
        <w:tc>
          <w:tcPr>
            <w:tcW w:w="1985" w:type="dxa"/>
            <w:vAlign w:val="center"/>
          </w:tcPr>
          <w:p w14:paraId="1DBC686D" w14:textId="77777777" w:rsidR="00052A10" w:rsidRPr="00531E42" w:rsidRDefault="00052A10" w:rsidP="00052A10">
            <w:pPr>
              <w:keepNext/>
              <w:keepLines/>
              <w:jc w:val="center"/>
              <w:rPr>
                <w:rFonts w:cs="Arial"/>
                <w:b/>
                <w:bCs/>
              </w:rPr>
            </w:pPr>
            <w:r w:rsidRPr="00531E42">
              <w:rPr>
                <w:rFonts w:cs="Arial"/>
                <w:b/>
                <w:bCs/>
              </w:rPr>
              <w:t>Status</w:t>
            </w:r>
          </w:p>
        </w:tc>
        <w:tc>
          <w:tcPr>
            <w:tcW w:w="3543" w:type="dxa"/>
          </w:tcPr>
          <w:p w14:paraId="5FFEF244" w14:textId="77777777" w:rsidR="00052A10" w:rsidRPr="00531E42" w:rsidRDefault="00052A10" w:rsidP="00052A10">
            <w:pPr>
              <w:keepNext/>
              <w:keepLines/>
              <w:rPr>
                <w:rFonts w:cs="Arial"/>
                <w:b/>
                <w:bCs/>
              </w:rPr>
            </w:pPr>
            <w:r w:rsidRPr="00531E42">
              <w:rPr>
                <w:rFonts w:cs="Arial"/>
                <w:b/>
                <w:bCs/>
              </w:rPr>
              <w:t>Comments</w:t>
            </w:r>
          </w:p>
        </w:tc>
      </w:tr>
      <w:tr w:rsidR="00052A10" w:rsidRPr="00531E42" w14:paraId="61575BB3" w14:textId="77777777" w:rsidTr="00052A10">
        <w:tc>
          <w:tcPr>
            <w:tcW w:w="606" w:type="dxa"/>
          </w:tcPr>
          <w:p w14:paraId="0547F95C" w14:textId="77777777" w:rsidR="00052A10" w:rsidRPr="00531E42" w:rsidRDefault="00052A10" w:rsidP="00052A10">
            <w:pPr>
              <w:jc w:val="center"/>
              <w:rPr>
                <w:rFonts w:cs="Arial"/>
              </w:rPr>
            </w:pPr>
            <w:r w:rsidRPr="00531E42">
              <w:rPr>
                <w:rFonts w:cs="Arial"/>
              </w:rPr>
              <w:t>0.1</w:t>
            </w:r>
          </w:p>
        </w:tc>
        <w:tc>
          <w:tcPr>
            <w:tcW w:w="1629" w:type="dxa"/>
          </w:tcPr>
          <w:p w14:paraId="3535F2CC" w14:textId="3C424491" w:rsidR="00052A10" w:rsidRPr="00531E42" w:rsidRDefault="00052A10" w:rsidP="00052A10">
            <w:pPr>
              <w:jc w:val="center"/>
              <w:rPr>
                <w:rFonts w:cs="Arial"/>
              </w:rPr>
            </w:pPr>
            <w:r>
              <w:rPr>
                <w:rFonts w:cs="Arial"/>
              </w:rPr>
              <w:t>30-05-2018</w:t>
            </w:r>
          </w:p>
        </w:tc>
        <w:tc>
          <w:tcPr>
            <w:tcW w:w="1417" w:type="dxa"/>
          </w:tcPr>
          <w:p w14:paraId="14AD3F27" w14:textId="327578F1" w:rsidR="00052A10" w:rsidRPr="00531E42" w:rsidRDefault="00052A10" w:rsidP="00052A10">
            <w:pPr>
              <w:keepNext/>
              <w:keepLines/>
              <w:jc w:val="center"/>
              <w:rPr>
                <w:rFonts w:cs="Arial"/>
              </w:rPr>
            </w:pPr>
            <w:r>
              <w:rPr>
                <w:rFonts w:cs="Arial"/>
              </w:rPr>
              <w:t>TC ESI</w:t>
            </w:r>
          </w:p>
        </w:tc>
        <w:tc>
          <w:tcPr>
            <w:tcW w:w="1985" w:type="dxa"/>
          </w:tcPr>
          <w:p w14:paraId="555C6799" w14:textId="6CDF369E" w:rsidR="00052A10" w:rsidRPr="00531E42" w:rsidRDefault="00052A10" w:rsidP="00052A10">
            <w:pPr>
              <w:keepNext/>
              <w:keepLines/>
              <w:jc w:val="center"/>
              <w:rPr>
                <w:rFonts w:cs="Arial"/>
              </w:rPr>
            </w:pPr>
            <w:r>
              <w:rPr>
                <w:rFonts w:cs="Arial"/>
              </w:rPr>
              <w:t>Approved by EC</w:t>
            </w:r>
            <w:r w:rsidRPr="00531E42">
              <w:rPr>
                <w:rFonts w:cs="Arial"/>
              </w:rPr>
              <w:t xml:space="preserve"> </w:t>
            </w:r>
          </w:p>
        </w:tc>
        <w:tc>
          <w:tcPr>
            <w:tcW w:w="3543" w:type="dxa"/>
          </w:tcPr>
          <w:p w14:paraId="54FF4DC5" w14:textId="4A3F3E60" w:rsidR="00052A10" w:rsidRPr="00531E42" w:rsidRDefault="00052A10" w:rsidP="00052A10">
            <w:pPr>
              <w:keepNext/>
              <w:keepLines/>
              <w:rPr>
                <w:rFonts w:cs="Arial"/>
              </w:rPr>
            </w:pPr>
          </w:p>
        </w:tc>
      </w:tr>
      <w:tr w:rsidR="00052A10" w:rsidRPr="00531E42" w14:paraId="13B51613" w14:textId="77777777" w:rsidTr="00052A10">
        <w:tc>
          <w:tcPr>
            <w:tcW w:w="606" w:type="dxa"/>
          </w:tcPr>
          <w:p w14:paraId="6F65D9C3" w14:textId="77777777" w:rsidR="00052A10" w:rsidRPr="00531E42" w:rsidRDefault="00052A10" w:rsidP="00052A10">
            <w:pPr>
              <w:jc w:val="center"/>
              <w:rPr>
                <w:rFonts w:cs="Arial"/>
              </w:rPr>
            </w:pPr>
            <w:r>
              <w:rPr>
                <w:rFonts w:cs="Arial"/>
              </w:rPr>
              <w:t>0.2</w:t>
            </w:r>
          </w:p>
        </w:tc>
        <w:tc>
          <w:tcPr>
            <w:tcW w:w="1629" w:type="dxa"/>
          </w:tcPr>
          <w:p w14:paraId="315FF1B8" w14:textId="31962CA5" w:rsidR="00052A10" w:rsidRPr="00531E42" w:rsidRDefault="00052A10" w:rsidP="00052A10">
            <w:pPr>
              <w:jc w:val="center"/>
              <w:rPr>
                <w:rFonts w:cs="Arial"/>
              </w:rPr>
            </w:pPr>
            <w:r>
              <w:rPr>
                <w:rFonts w:cs="Arial"/>
              </w:rPr>
              <w:t>23-07-2018</w:t>
            </w:r>
          </w:p>
        </w:tc>
        <w:tc>
          <w:tcPr>
            <w:tcW w:w="1417" w:type="dxa"/>
          </w:tcPr>
          <w:p w14:paraId="48C8FEA1" w14:textId="77777777" w:rsidR="00052A10" w:rsidRPr="00531E42" w:rsidRDefault="00052A10" w:rsidP="00052A10">
            <w:pPr>
              <w:keepNext/>
              <w:keepLines/>
              <w:jc w:val="center"/>
              <w:rPr>
                <w:rFonts w:cs="Arial"/>
              </w:rPr>
            </w:pPr>
            <w:r>
              <w:rPr>
                <w:rFonts w:cs="Arial"/>
              </w:rPr>
              <w:t>Youssouf Sakho</w:t>
            </w:r>
          </w:p>
        </w:tc>
        <w:tc>
          <w:tcPr>
            <w:tcW w:w="1985" w:type="dxa"/>
          </w:tcPr>
          <w:p w14:paraId="7EAF170E" w14:textId="6C888DA8" w:rsidR="00052A10" w:rsidRPr="00531E42" w:rsidRDefault="00052A10" w:rsidP="00052A10">
            <w:pPr>
              <w:keepNext/>
              <w:keepLines/>
              <w:jc w:val="center"/>
              <w:rPr>
                <w:rFonts w:cs="Arial"/>
              </w:rPr>
            </w:pPr>
            <w:r>
              <w:rPr>
                <w:rFonts w:cs="Arial"/>
              </w:rPr>
              <w:t>Approved by EC</w:t>
            </w:r>
          </w:p>
        </w:tc>
        <w:tc>
          <w:tcPr>
            <w:tcW w:w="3543" w:type="dxa"/>
          </w:tcPr>
          <w:p w14:paraId="1E148167" w14:textId="59757C13" w:rsidR="00052A10" w:rsidRPr="00531E42" w:rsidRDefault="00052A10" w:rsidP="00052A10">
            <w:pPr>
              <w:keepNext/>
              <w:keepLines/>
              <w:rPr>
                <w:rFonts w:cs="Arial"/>
              </w:rPr>
            </w:pPr>
            <w:r>
              <w:rPr>
                <w:rFonts w:cs="Arial"/>
              </w:rPr>
              <w:t>Editorials before publication of the Collective Letter</w:t>
            </w:r>
          </w:p>
        </w:tc>
      </w:tr>
    </w:tbl>
    <w:p w14:paraId="46943EF9" w14:textId="0682A316" w:rsidR="00645150" w:rsidRPr="007E6A3F" w:rsidRDefault="00645150" w:rsidP="00CA4989">
      <w:pPr>
        <w:tabs>
          <w:tab w:val="clear" w:pos="1418"/>
          <w:tab w:val="clear" w:pos="4678"/>
          <w:tab w:val="clear" w:pos="5954"/>
          <w:tab w:val="clear" w:pos="7088"/>
          <w:tab w:val="left" w:pos="6463"/>
        </w:tabs>
        <w:rPr>
          <w:rFonts w:cs="Arial"/>
          <w:b/>
        </w:rPr>
      </w:pPr>
    </w:p>
    <w:sectPr w:rsidR="00645150" w:rsidRPr="007E6A3F" w:rsidSect="00C501C8">
      <w:headerReference w:type="default" r:id="rId25"/>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ED2C5" w14:textId="77777777" w:rsidR="00052A10" w:rsidRDefault="00052A10">
      <w:r>
        <w:separator/>
      </w:r>
    </w:p>
  </w:endnote>
  <w:endnote w:type="continuationSeparator" w:id="0">
    <w:p w14:paraId="223465CE" w14:textId="77777777" w:rsidR="00052A10" w:rsidRDefault="0005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8D66D" w14:textId="77777777" w:rsidR="00052A10" w:rsidRDefault="00052A10">
      <w:r>
        <w:separator/>
      </w:r>
    </w:p>
  </w:footnote>
  <w:footnote w:type="continuationSeparator" w:id="0">
    <w:p w14:paraId="2DA36261" w14:textId="77777777" w:rsidR="00052A10" w:rsidRDefault="00052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1C9CD" w14:textId="77777777" w:rsidR="00052A10" w:rsidRDefault="00052A10">
    <w:pPr>
      <w:pStyle w:val="Header"/>
    </w:pPr>
    <w:proofErr w:type="spellStart"/>
    <w:r>
      <w:t>ToR</w:t>
    </w:r>
    <w:proofErr w:type="spellEnd"/>
    <w:r>
      <w:t xml:space="preserve"> STF CQ</w:t>
    </w:r>
  </w:p>
  <w:p w14:paraId="6F204E04" w14:textId="4A1B54F8" w:rsidR="00052A10" w:rsidRPr="006A5009" w:rsidRDefault="008E1DCA" w:rsidP="006A5009">
    <w:pPr>
      <w:pStyle w:val="Header"/>
      <w:rPr>
        <w:b w:val="0"/>
      </w:rPr>
    </w:pPr>
    <w:sdt>
      <w:sdtPr>
        <w:rPr>
          <w:i w:val="0"/>
          <w:sz w:val="20"/>
        </w:rPr>
        <w:id w:val="191192966"/>
        <w:docPartObj>
          <w:docPartGallery w:val="Page Numbers (Top of Page)"/>
          <w:docPartUnique/>
        </w:docPartObj>
      </w:sdtPr>
      <w:sdtEndPr>
        <w:rPr>
          <w:b w:val="0"/>
          <w:i/>
          <w:sz w:val="32"/>
        </w:rPr>
      </w:sdtEndPr>
      <w:sdtContent>
        <w:r w:rsidR="00052A10" w:rsidRPr="00E04542">
          <w:rPr>
            <w:b w:val="0"/>
            <w:sz w:val="20"/>
          </w:rPr>
          <w:t xml:space="preserve">Page </w:t>
        </w:r>
        <w:r w:rsidR="00052A10" w:rsidRPr="00E04542">
          <w:rPr>
            <w:b w:val="0"/>
            <w:bCs w:val="0"/>
            <w:sz w:val="20"/>
          </w:rPr>
          <w:fldChar w:fldCharType="begin"/>
        </w:r>
        <w:r w:rsidR="00052A10" w:rsidRPr="00E04542">
          <w:rPr>
            <w:b w:val="0"/>
            <w:sz w:val="20"/>
          </w:rPr>
          <w:instrText xml:space="preserve"> PAGE </w:instrText>
        </w:r>
        <w:r w:rsidR="00052A10" w:rsidRPr="00E04542">
          <w:rPr>
            <w:b w:val="0"/>
            <w:bCs w:val="0"/>
            <w:sz w:val="20"/>
          </w:rPr>
          <w:fldChar w:fldCharType="separate"/>
        </w:r>
        <w:r>
          <w:rPr>
            <w:b w:val="0"/>
            <w:noProof/>
            <w:sz w:val="20"/>
          </w:rPr>
          <w:t>17</w:t>
        </w:r>
        <w:r w:rsidR="00052A10" w:rsidRPr="00E04542">
          <w:rPr>
            <w:b w:val="0"/>
            <w:bCs w:val="0"/>
            <w:sz w:val="20"/>
          </w:rPr>
          <w:fldChar w:fldCharType="end"/>
        </w:r>
        <w:r w:rsidR="00052A10" w:rsidRPr="00E04542">
          <w:rPr>
            <w:b w:val="0"/>
            <w:sz w:val="20"/>
          </w:rPr>
          <w:t xml:space="preserve"> of </w:t>
        </w:r>
        <w:r w:rsidR="00052A10" w:rsidRPr="00E04542">
          <w:rPr>
            <w:b w:val="0"/>
            <w:bCs w:val="0"/>
            <w:sz w:val="20"/>
          </w:rPr>
          <w:fldChar w:fldCharType="begin"/>
        </w:r>
        <w:r w:rsidR="00052A10" w:rsidRPr="00E04542">
          <w:rPr>
            <w:b w:val="0"/>
            <w:sz w:val="20"/>
          </w:rPr>
          <w:instrText xml:space="preserve"> NUMPAGES  </w:instrText>
        </w:r>
        <w:r w:rsidR="00052A10" w:rsidRPr="00E04542">
          <w:rPr>
            <w:b w:val="0"/>
            <w:bCs w:val="0"/>
            <w:sz w:val="20"/>
          </w:rPr>
          <w:fldChar w:fldCharType="separate"/>
        </w:r>
        <w:r>
          <w:rPr>
            <w:b w:val="0"/>
            <w:noProof/>
            <w:sz w:val="20"/>
          </w:rPr>
          <w:t>21</w:t>
        </w:r>
        <w:r w:rsidR="00052A10" w:rsidRPr="00E04542">
          <w:rPr>
            <w:b w:val="0"/>
            <w:bCs w:val="0"/>
            <w:sz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9" w:type="dxa"/>
      <w:jc w:val="right"/>
      <w:tblLook w:val="01E0" w:firstRow="1" w:lastRow="1" w:firstColumn="1" w:lastColumn="1" w:noHBand="0" w:noVBand="0"/>
    </w:tblPr>
    <w:tblGrid>
      <w:gridCol w:w="5039"/>
    </w:tblGrid>
    <w:tr w:rsidR="00052A10" w14:paraId="163C995B" w14:textId="77777777">
      <w:trPr>
        <w:jc w:val="right"/>
      </w:trPr>
      <w:tc>
        <w:tcPr>
          <w:tcW w:w="5039" w:type="dxa"/>
        </w:tcPr>
        <w:p w14:paraId="73301257" w14:textId="688B9EE1" w:rsidR="00052A10" w:rsidRDefault="00052A10" w:rsidP="00B929F5">
          <w:pPr>
            <w:pStyle w:val="Header"/>
          </w:pPr>
          <w:proofErr w:type="spellStart"/>
          <w:r>
            <w:t>ToR</w:t>
          </w:r>
          <w:proofErr w:type="spellEnd"/>
          <w:r>
            <w:t xml:space="preserve"> STF CQ</w:t>
          </w:r>
        </w:p>
      </w:tc>
    </w:tr>
    <w:tr w:rsidR="00052A10" w14:paraId="3752E92F" w14:textId="77777777">
      <w:trPr>
        <w:jc w:val="right"/>
      </w:trPr>
      <w:tc>
        <w:tcPr>
          <w:tcW w:w="5039" w:type="dxa"/>
        </w:tcPr>
        <w:p w14:paraId="2DD3F461" w14:textId="1649E0E4" w:rsidR="00052A10" w:rsidRPr="001B5122" w:rsidRDefault="00052A10" w:rsidP="001B5122">
          <w:pPr>
            <w:jc w:val="right"/>
          </w:pPr>
          <w:r w:rsidRPr="001B5122">
            <w:t xml:space="preserve">page </w:t>
          </w:r>
          <w:r w:rsidRPr="001B5122">
            <w:fldChar w:fldCharType="begin"/>
          </w:r>
          <w:r w:rsidRPr="001B5122">
            <w:instrText xml:space="preserve"> PAGE   \* MERGEFORMAT </w:instrText>
          </w:r>
          <w:r w:rsidRPr="001B5122">
            <w:fldChar w:fldCharType="separate"/>
          </w:r>
          <w:r w:rsidR="008E1DCA">
            <w:rPr>
              <w:noProof/>
            </w:rPr>
            <w:t>21</w:t>
          </w:r>
          <w:r w:rsidRPr="001B5122">
            <w:fldChar w:fldCharType="end"/>
          </w:r>
          <w:r w:rsidRPr="001B5122">
            <w:t xml:space="preserve"> of </w:t>
          </w:r>
          <w:fldSimple w:instr=" NUMPAGES   \* MERGEFORMAT ">
            <w:r w:rsidR="008E1DCA">
              <w:rPr>
                <w:noProof/>
              </w:rPr>
              <w:t>21</w:t>
            </w:r>
          </w:fldSimple>
        </w:p>
      </w:tc>
    </w:tr>
  </w:tbl>
  <w:p w14:paraId="02C86F8B" w14:textId="77777777" w:rsidR="00052A10" w:rsidRPr="001B5122" w:rsidRDefault="00052A10" w:rsidP="001B512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4pt;height:32.4pt" o:bullet="t">
        <v:imagedata r:id="rId1" o:title="art23"/>
      </v:shape>
    </w:pict>
  </w:numPicBullet>
  <w:abstractNum w:abstractNumId="0" w15:restartNumberingAfterBreak="0">
    <w:nsid w:val="0B0F02F5"/>
    <w:multiLevelType w:val="hybridMultilevel"/>
    <w:tmpl w:val="57D26B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B43CFD"/>
    <w:multiLevelType w:val="hybridMultilevel"/>
    <w:tmpl w:val="7DEE93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70C05"/>
    <w:multiLevelType w:val="hybridMultilevel"/>
    <w:tmpl w:val="4A32DE14"/>
    <w:lvl w:ilvl="0" w:tplc="ACD05D56">
      <w:start w:val="15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E8615B"/>
    <w:multiLevelType w:val="hybridMultilevel"/>
    <w:tmpl w:val="4A46F24E"/>
    <w:lvl w:ilvl="0" w:tplc="8F7E6DE6">
      <w:start w:val="1"/>
      <w:numFmt w:val="decimal"/>
      <w:lvlText w:val="T%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8" w15:restartNumberingAfterBreak="0">
    <w:nsid w:val="2B3A0CC1"/>
    <w:multiLevelType w:val="hybridMultilevel"/>
    <w:tmpl w:val="9A9A74B2"/>
    <w:lvl w:ilvl="0" w:tplc="080C0001">
      <w:start w:val="1"/>
      <w:numFmt w:val="bullet"/>
      <w:lvlText w:val=""/>
      <w:lvlJc w:val="left"/>
      <w:pPr>
        <w:ind w:left="765" w:hanging="360"/>
      </w:pPr>
      <w:rPr>
        <w:rFonts w:ascii="Symbol" w:hAnsi="Symbol" w:hint="default"/>
      </w:rPr>
    </w:lvl>
    <w:lvl w:ilvl="1" w:tplc="080C0003">
      <w:start w:val="1"/>
      <w:numFmt w:val="bullet"/>
      <w:lvlText w:val="o"/>
      <w:lvlJc w:val="left"/>
      <w:pPr>
        <w:ind w:left="1485" w:hanging="360"/>
      </w:pPr>
      <w:rPr>
        <w:rFonts w:ascii="Courier New" w:hAnsi="Courier New" w:cs="Courier New" w:hint="default"/>
      </w:rPr>
    </w:lvl>
    <w:lvl w:ilvl="2" w:tplc="080C0005">
      <w:start w:val="1"/>
      <w:numFmt w:val="bullet"/>
      <w:lvlText w:val=""/>
      <w:lvlJc w:val="left"/>
      <w:pPr>
        <w:ind w:left="2205" w:hanging="360"/>
      </w:pPr>
      <w:rPr>
        <w:rFonts w:ascii="Wingdings" w:hAnsi="Wingdings" w:hint="default"/>
      </w:rPr>
    </w:lvl>
    <w:lvl w:ilvl="3" w:tplc="080C000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9" w15:restartNumberingAfterBreak="0">
    <w:nsid w:val="33DA6D19"/>
    <w:multiLevelType w:val="hybridMultilevel"/>
    <w:tmpl w:val="5B10F8BC"/>
    <w:lvl w:ilvl="0" w:tplc="561C087A">
      <w:start w:val="1"/>
      <w:numFmt w:val="lowerLetter"/>
      <w:lvlText w:val="%1)"/>
      <w:lvlJc w:val="left"/>
      <w:pPr>
        <w:ind w:left="644" w:hanging="360"/>
      </w:pPr>
    </w:lvl>
    <w:lvl w:ilvl="1" w:tplc="F08CCF7A">
      <w:start w:val="1"/>
      <w:numFmt w:val="decimal"/>
      <w:lvlText w:val="%2."/>
      <w:lvlJc w:val="left"/>
      <w:pPr>
        <w:ind w:left="1994" w:hanging="630"/>
      </w:pPr>
      <w:rPr>
        <w:rFonts w:hint="default"/>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6BF7E71"/>
    <w:multiLevelType w:val="multilevel"/>
    <w:tmpl w:val="3F866904"/>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8017F38"/>
    <w:multiLevelType w:val="hybridMultilevel"/>
    <w:tmpl w:val="8A60F8D4"/>
    <w:lvl w:ilvl="0" w:tplc="9B5E1572">
      <w:start w:val="1"/>
      <w:numFmt w:val="bullet"/>
      <w:pStyle w:val="BoldLef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14298"/>
    <w:multiLevelType w:val="hybridMultilevel"/>
    <w:tmpl w:val="1A245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0BD3660"/>
    <w:multiLevelType w:val="hybridMultilevel"/>
    <w:tmpl w:val="6530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6F4C83"/>
    <w:multiLevelType w:val="hybridMultilevel"/>
    <w:tmpl w:val="A888DEA4"/>
    <w:lvl w:ilvl="0" w:tplc="08090001">
      <w:start w:val="15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2A4E87"/>
    <w:multiLevelType w:val="hybridMultilevel"/>
    <w:tmpl w:val="96CC9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570F20D3"/>
    <w:multiLevelType w:val="hybridMultilevel"/>
    <w:tmpl w:val="E5E62EC4"/>
    <w:lvl w:ilvl="0" w:tplc="08090001">
      <w:start w:val="1"/>
      <w:numFmt w:val="bullet"/>
      <w:lvlText w:val=""/>
      <w:lvlJc w:val="left"/>
      <w:pPr>
        <w:tabs>
          <w:tab w:val="num" w:pos="1003"/>
        </w:tabs>
        <w:ind w:left="1003" w:hanging="360"/>
      </w:pPr>
      <w:rPr>
        <w:rFonts w:ascii="Symbol" w:hAnsi="Symbol" w:hint="default"/>
      </w:rPr>
    </w:lvl>
    <w:lvl w:ilvl="1" w:tplc="08090003">
      <w:start w:val="1"/>
      <w:numFmt w:val="bullet"/>
      <w:lvlText w:val=""/>
      <w:lvlJc w:val="left"/>
      <w:pPr>
        <w:tabs>
          <w:tab w:val="num" w:pos="1723"/>
        </w:tabs>
        <w:ind w:left="1723" w:hanging="360"/>
      </w:pPr>
      <w:rPr>
        <w:rFonts w:ascii="Symbol" w:hAnsi="Symbol"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21" w15:restartNumberingAfterBreak="0">
    <w:nsid w:val="66B45085"/>
    <w:multiLevelType w:val="hybridMultilevel"/>
    <w:tmpl w:val="E152CCFC"/>
    <w:lvl w:ilvl="0" w:tplc="561C087A">
      <w:start w:val="1"/>
      <w:numFmt w:val="lowerLetter"/>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D643C"/>
    <w:multiLevelType w:val="hybridMultilevel"/>
    <w:tmpl w:val="12F83892"/>
    <w:lvl w:ilvl="0" w:tplc="1674C0D4">
      <w:start w:val="1"/>
      <w:numFmt w:val="bullet"/>
      <w:pStyle w:val="TB1"/>
      <w:lvlText w:val=""/>
      <w:lvlJc w:val="left"/>
      <w:pPr>
        <w:ind w:left="644" w:hanging="360"/>
      </w:pPr>
      <w:rPr>
        <w:rFonts w:ascii="Symbol" w:hAnsi="Symbol" w:hint="default"/>
      </w:rPr>
    </w:lvl>
    <w:lvl w:ilvl="1" w:tplc="04100001">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912FDB"/>
    <w:multiLevelType w:val="hybridMultilevel"/>
    <w:tmpl w:val="DD4A2046"/>
    <w:lvl w:ilvl="0" w:tplc="A3C42BA0">
      <w:start w:val="15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A12861"/>
    <w:multiLevelType w:val="hybridMultilevel"/>
    <w:tmpl w:val="7C02CB56"/>
    <w:lvl w:ilvl="0" w:tplc="99A4B9A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6C0D08"/>
    <w:multiLevelType w:val="hybridMultilevel"/>
    <w:tmpl w:val="22429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56C54"/>
    <w:multiLevelType w:val="hybridMultilevel"/>
    <w:tmpl w:val="4C8C0E5A"/>
    <w:lvl w:ilvl="0" w:tplc="8564E26C">
      <w:start w:val="1"/>
      <w:numFmt w:val="bullet"/>
      <w:pStyle w:val="B20"/>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2"/>
  </w:num>
  <w:num w:numId="4">
    <w:abstractNumId w:val="3"/>
    <w:lvlOverride w:ilvl="0">
      <w:startOverride w:val="1"/>
    </w:lvlOverride>
  </w:num>
  <w:num w:numId="5">
    <w:abstractNumId w:val="14"/>
  </w:num>
  <w:num w:numId="6">
    <w:abstractNumId w:val="11"/>
  </w:num>
  <w:num w:numId="7">
    <w:abstractNumId w:val="19"/>
  </w:num>
  <w:num w:numId="8">
    <w:abstractNumId w:val="24"/>
  </w:num>
  <w:num w:numId="9">
    <w:abstractNumId w:val="15"/>
  </w:num>
  <w:num w:numId="10">
    <w:abstractNumId w:val="4"/>
  </w:num>
  <w:num w:numId="11">
    <w:abstractNumId w:val="4"/>
  </w:num>
  <w:num w:numId="12">
    <w:abstractNumId w:val="3"/>
  </w:num>
  <w:num w:numId="13">
    <w:abstractNumId w:val="6"/>
  </w:num>
  <w:num w:numId="14">
    <w:abstractNumId w:val="23"/>
  </w:num>
  <w:num w:numId="15">
    <w:abstractNumId w:val="7"/>
  </w:num>
  <w:num w:numId="16">
    <w:abstractNumId w:val="18"/>
  </w:num>
  <w:num w:numId="17">
    <w:abstractNumId w:val="7"/>
  </w:num>
  <w:num w:numId="18">
    <w:abstractNumId w:val="20"/>
  </w:num>
  <w:num w:numId="19">
    <w:abstractNumId w:val="10"/>
  </w:num>
  <w:num w:numId="20">
    <w:abstractNumId w:val="12"/>
  </w:num>
  <w:num w:numId="21">
    <w:abstractNumId w:val="29"/>
  </w:num>
  <w:num w:numId="22">
    <w:abstractNumId w:val="25"/>
  </w:num>
  <w:num w:numId="23">
    <w:abstractNumId w:val="0"/>
  </w:num>
  <w:num w:numId="24">
    <w:abstractNumId w:val="5"/>
  </w:num>
  <w:num w:numId="25">
    <w:abstractNumId w:val="21"/>
  </w:num>
  <w:num w:numId="26">
    <w:abstractNumId w:val="9"/>
  </w:num>
  <w:num w:numId="27">
    <w:abstractNumId w:val="16"/>
  </w:num>
  <w:num w:numId="28">
    <w:abstractNumId w:val="13"/>
  </w:num>
  <w:num w:numId="29">
    <w:abstractNumId w:val="27"/>
  </w:num>
  <w:num w:numId="30">
    <w:abstractNumId w:val="8"/>
  </w:num>
  <w:num w:numId="31">
    <w:abstractNumId w:val="1"/>
  </w:num>
  <w:num w:numId="32">
    <w:abstractNumId w:val="26"/>
  </w:num>
  <w:num w:numId="33">
    <w:abstractNumId w:val="2"/>
  </w:num>
  <w:num w:numId="34">
    <w:abstractNumId w:val="17"/>
  </w:num>
  <w:num w:numId="35">
    <w:abstractNumId w:val="28"/>
  </w:num>
  <w:num w:numId="3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DF"/>
    <w:rsid w:val="0000378B"/>
    <w:rsid w:val="000037AD"/>
    <w:rsid w:val="0000653B"/>
    <w:rsid w:val="00007B38"/>
    <w:rsid w:val="0001165D"/>
    <w:rsid w:val="00031277"/>
    <w:rsid w:val="00037530"/>
    <w:rsid w:val="000454EE"/>
    <w:rsid w:val="0004591F"/>
    <w:rsid w:val="00045D53"/>
    <w:rsid w:val="000460EC"/>
    <w:rsid w:val="00050CD7"/>
    <w:rsid w:val="00052A10"/>
    <w:rsid w:val="00056F5A"/>
    <w:rsid w:val="00061EB1"/>
    <w:rsid w:val="000633C1"/>
    <w:rsid w:val="0006411F"/>
    <w:rsid w:val="00064399"/>
    <w:rsid w:val="00064D0E"/>
    <w:rsid w:val="00067A31"/>
    <w:rsid w:val="00070094"/>
    <w:rsid w:val="0007181A"/>
    <w:rsid w:val="00071C49"/>
    <w:rsid w:val="00082F62"/>
    <w:rsid w:val="000830DC"/>
    <w:rsid w:val="00083911"/>
    <w:rsid w:val="00094E3E"/>
    <w:rsid w:val="000A005B"/>
    <w:rsid w:val="000A1222"/>
    <w:rsid w:val="000A4246"/>
    <w:rsid w:val="000A5E70"/>
    <w:rsid w:val="000B331A"/>
    <w:rsid w:val="000C0AB2"/>
    <w:rsid w:val="000C0FA4"/>
    <w:rsid w:val="000C5B6B"/>
    <w:rsid w:val="000C6800"/>
    <w:rsid w:val="000C6889"/>
    <w:rsid w:val="000D0026"/>
    <w:rsid w:val="000D4549"/>
    <w:rsid w:val="000D5911"/>
    <w:rsid w:val="000D6CA9"/>
    <w:rsid w:val="000D709D"/>
    <w:rsid w:val="000E0FBC"/>
    <w:rsid w:val="000E117A"/>
    <w:rsid w:val="000E1F4E"/>
    <w:rsid w:val="000E60E1"/>
    <w:rsid w:val="000E78C8"/>
    <w:rsid w:val="000F2388"/>
    <w:rsid w:val="000F2D9E"/>
    <w:rsid w:val="00101434"/>
    <w:rsid w:val="00104A3F"/>
    <w:rsid w:val="0011043B"/>
    <w:rsid w:val="00133C8A"/>
    <w:rsid w:val="001350FA"/>
    <w:rsid w:val="0013534E"/>
    <w:rsid w:val="0014707A"/>
    <w:rsid w:val="00147BD3"/>
    <w:rsid w:val="00154A51"/>
    <w:rsid w:val="0015530C"/>
    <w:rsid w:val="00165767"/>
    <w:rsid w:val="00166269"/>
    <w:rsid w:val="001711F0"/>
    <w:rsid w:val="001717F4"/>
    <w:rsid w:val="00180CA3"/>
    <w:rsid w:val="001812F1"/>
    <w:rsid w:val="0018378D"/>
    <w:rsid w:val="0018698A"/>
    <w:rsid w:val="001905EE"/>
    <w:rsid w:val="00190FCC"/>
    <w:rsid w:val="00191B16"/>
    <w:rsid w:val="0019417E"/>
    <w:rsid w:val="001961FA"/>
    <w:rsid w:val="0019749C"/>
    <w:rsid w:val="001A0490"/>
    <w:rsid w:val="001A3BE6"/>
    <w:rsid w:val="001A62E6"/>
    <w:rsid w:val="001A633F"/>
    <w:rsid w:val="001B193F"/>
    <w:rsid w:val="001B5122"/>
    <w:rsid w:val="001C0CBC"/>
    <w:rsid w:val="001D03A4"/>
    <w:rsid w:val="001D044E"/>
    <w:rsid w:val="001D531B"/>
    <w:rsid w:val="001D651B"/>
    <w:rsid w:val="001D65F1"/>
    <w:rsid w:val="001D759F"/>
    <w:rsid w:val="001D7882"/>
    <w:rsid w:val="001D7F24"/>
    <w:rsid w:val="001E04B0"/>
    <w:rsid w:val="001E70D8"/>
    <w:rsid w:val="001F6978"/>
    <w:rsid w:val="00200AC7"/>
    <w:rsid w:val="00202155"/>
    <w:rsid w:val="00203E1D"/>
    <w:rsid w:val="002067E4"/>
    <w:rsid w:val="002074F3"/>
    <w:rsid w:val="00207D29"/>
    <w:rsid w:val="0021101A"/>
    <w:rsid w:val="00211930"/>
    <w:rsid w:val="00212D27"/>
    <w:rsid w:val="00213878"/>
    <w:rsid w:val="002146B2"/>
    <w:rsid w:val="00214CBE"/>
    <w:rsid w:val="00221020"/>
    <w:rsid w:val="002214FF"/>
    <w:rsid w:val="00221848"/>
    <w:rsid w:val="002239A9"/>
    <w:rsid w:val="00225FBC"/>
    <w:rsid w:val="00226C19"/>
    <w:rsid w:val="00227D8D"/>
    <w:rsid w:val="00230372"/>
    <w:rsid w:val="00232234"/>
    <w:rsid w:val="00235703"/>
    <w:rsid w:val="002362C3"/>
    <w:rsid w:val="00240892"/>
    <w:rsid w:val="00240D44"/>
    <w:rsid w:val="00240DFC"/>
    <w:rsid w:val="00245DEF"/>
    <w:rsid w:val="00246158"/>
    <w:rsid w:val="002465C1"/>
    <w:rsid w:val="00255D75"/>
    <w:rsid w:val="00255E43"/>
    <w:rsid w:val="00260BF9"/>
    <w:rsid w:val="002706C4"/>
    <w:rsid w:val="00277A57"/>
    <w:rsid w:val="00283CAF"/>
    <w:rsid w:val="0028582D"/>
    <w:rsid w:val="0028788D"/>
    <w:rsid w:val="002967EE"/>
    <w:rsid w:val="002A3509"/>
    <w:rsid w:val="002A5ADD"/>
    <w:rsid w:val="002B3C3B"/>
    <w:rsid w:val="002B4116"/>
    <w:rsid w:val="002B53F4"/>
    <w:rsid w:val="002C0D22"/>
    <w:rsid w:val="002C43F3"/>
    <w:rsid w:val="002C520E"/>
    <w:rsid w:val="002D01AC"/>
    <w:rsid w:val="002D05B7"/>
    <w:rsid w:val="002D0E5E"/>
    <w:rsid w:val="002D7F7F"/>
    <w:rsid w:val="002E0501"/>
    <w:rsid w:val="002E2077"/>
    <w:rsid w:val="002E2C46"/>
    <w:rsid w:val="002E5735"/>
    <w:rsid w:val="002E7743"/>
    <w:rsid w:val="002F2159"/>
    <w:rsid w:val="00301EAE"/>
    <w:rsid w:val="00317D80"/>
    <w:rsid w:val="0032165A"/>
    <w:rsid w:val="00326B5F"/>
    <w:rsid w:val="00334B5B"/>
    <w:rsid w:val="003418E3"/>
    <w:rsid w:val="00342C1C"/>
    <w:rsid w:val="0034301C"/>
    <w:rsid w:val="0034680C"/>
    <w:rsid w:val="00346D37"/>
    <w:rsid w:val="003503FE"/>
    <w:rsid w:val="00353577"/>
    <w:rsid w:val="003559B9"/>
    <w:rsid w:val="003609B4"/>
    <w:rsid w:val="003619E6"/>
    <w:rsid w:val="00362313"/>
    <w:rsid w:val="00362890"/>
    <w:rsid w:val="0036662F"/>
    <w:rsid w:val="0036682D"/>
    <w:rsid w:val="00366967"/>
    <w:rsid w:val="003712C2"/>
    <w:rsid w:val="0037662C"/>
    <w:rsid w:val="003930E3"/>
    <w:rsid w:val="00394791"/>
    <w:rsid w:val="003A1AC2"/>
    <w:rsid w:val="003A2413"/>
    <w:rsid w:val="003A7099"/>
    <w:rsid w:val="003A7178"/>
    <w:rsid w:val="003B6DF7"/>
    <w:rsid w:val="003C10D0"/>
    <w:rsid w:val="003C154B"/>
    <w:rsid w:val="003C1C4D"/>
    <w:rsid w:val="003C3959"/>
    <w:rsid w:val="003C767B"/>
    <w:rsid w:val="003D0A69"/>
    <w:rsid w:val="003D338D"/>
    <w:rsid w:val="003E364C"/>
    <w:rsid w:val="003E4CD8"/>
    <w:rsid w:val="003F17C4"/>
    <w:rsid w:val="003F5DD5"/>
    <w:rsid w:val="004004CA"/>
    <w:rsid w:val="00400599"/>
    <w:rsid w:val="00400D2C"/>
    <w:rsid w:val="0040354F"/>
    <w:rsid w:val="00403DC4"/>
    <w:rsid w:val="004044D7"/>
    <w:rsid w:val="004054AD"/>
    <w:rsid w:val="00405DEE"/>
    <w:rsid w:val="004126CE"/>
    <w:rsid w:val="00413CCE"/>
    <w:rsid w:val="0041473D"/>
    <w:rsid w:val="004176AE"/>
    <w:rsid w:val="004225E0"/>
    <w:rsid w:val="0042612C"/>
    <w:rsid w:val="00431BF6"/>
    <w:rsid w:val="00437646"/>
    <w:rsid w:val="00440C7C"/>
    <w:rsid w:val="004424CA"/>
    <w:rsid w:val="004424FD"/>
    <w:rsid w:val="00445B21"/>
    <w:rsid w:val="00451FEB"/>
    <w:rsid w:val="00462194"/>
    <w:rsid w:val="00464676"/>
    <w:rsid w:val="0046578B"/>
    <w:rsid w:val="00465A44"/>
    <w:rsid w:val="00466814"/>
    <w:rsid w:val="00470A52"/>
    <w:rsid w:val="0047464C"/>
    <w:rsid w:val="00475757"/>
    <w:rsid w:val="0048227B"/>
    <w:rsid w:val="0048429F"/>
    <w:rsid w:val="00486632"/>
    <w:rsid w:val="0049295D"/>
    <w:rsid w:val="00493DE6"/>
    <w:rsid w:val="004958BB"/>
    <w:rsid w:val="004971F3"/>
    <w:rsid w:val="00497308"/>
    <w:rsid w:val="004A15DF"/>
    <w:rsid w:val="004A45D0"/>
    <w:rsid w:val="004A4C54"/>
    <w:rsid w:val="004A7599"/>
    <w:rsid w:val="004B0855"/>
    <w:rsid w:val="004B0A35"/>
    <w:rsid w:val="004B4072"/>
    <w:rsid w:val="004C0489"/>
    <w:rsid w:val="004D0AF0"/>
    <w:rsid w:val="004D4BFD"/>
    <w:rsid w:val="004E31EA"/>
    <w:rsid w:val="004E546F"/>
    <w:rsid w:val="004E59A2"/>
    <w:rsid w:val="004F0134"/>
    <w:rsid w:val="004F1A64"/>
    <w:rsid w:val="004F33E5"/>
    <w:rsid w:val="004F343B"/>
    <w:rsid w:val="004F4A6E"/>
    <w:rsid w:val="004F6A9B"/>
    <w:rsid w:val="0050099A"/>
    <w:rsid w:val="00500E4A"/>
    <w:rsid w:val="00503BA6"/>
    <w:rsid w:val="0051193B"/>
    <w:rsid w:val="0051352B"/>
    <w:rsid w:val="00513654"/>
    <w:rsid w:val="005136FB"/>
    <w:rsid w:val="005203E7"/>
    <w:rsid w:val="00520A7D"/>
    <w:rsid w:val="0052216D"/>
    <w:rsid w:val="005225F6"/>
    <w:rsid w:val="0052429C"/>
    <w:rsid w:val="00527D8C"/>
    <w:rsid w:val="00530CCB"/>
    <w:rsid w:val="005368C1"/>
    <w:rsid w:val="00537418"/>
    <w:rsid w:val="0053799E"/>
    <w:rsid w:val="00547939"/>
    <w:rsid w:val="005510D7"/>
    <w:rsid w:val="005631F0"/>
    <w:rsid w:val="005632B9"/>
    <w:rsid w:val="00571192"/>
    <w:rsid w:val="00572267"/>
    <w:rsid w:val="00575A75"/>
    <w:rsid w:val="00575C53"/>
    <w:rsid w:val="00576932"/>
    <w:rsid w:val="00583470"/>
    <w:rsid w:val="00583F1C"/>
    <w:rsid w:val="00587E1B"/>
    <w:rsid w:val="00590D14"/>
    <w:rsid w:val="00593699"/>
    <w:rsid w:val="005A0166"/>
    <w:rsid w:val="005A0607"/>
    <w:rsid w:val="005A4BED"/>
    <w:rsid w:val="005A5A22"/>
    <w:rsid w:val="005B2629"/>
    <w:rsid w:val="005B52B4"/>
    <w:rsid w:val="005B5893"/>
    <w:rsid w:val="005B58E9"/>
    <w:rsid w:val="005C02A4"/>
    <w:rsid w:val="005C14E4"/>
    <w:rsid w:val="005C2966"/>
    <w:rsid w:val="005C4A56"/>
    <w:rsid w:val="005C56DC"/>
    <w:rsid w:val="005D07FE"/>
    <w:rsid w:val="005D0EC8"/>
    <w:rsid w:val="005D33AE"/>
    <w:rsid w:val="005E0C03"/>
    <w:rsid w:val="005E47D0"/>
    <w:rsid w:val="005E567D"/>
    <w:rsid w:val="005F1768"/>
    <w:rsid w:val="005F7BFB"/>
    <w:rsid w:val="00601A91"/>
    <w:rsid w:val="006038EC"/>
    <w:rsid w:val="00606DD1"/>
    <w:rsid w:val="006156F4"/>
    <w:rsid w:val="00615997"/>
    <w:rsid w:val="00616732"/>
    <w:rsid w:val="0062176C"/>
    <w:rsid w:val="00626E24"/>
    <w:rsid w:val="0062724E"/>
    <w:rsid w:val="0063043F"/>
    <w:rsid w:val="006308BC"/>
    <w:rsid w:val="00631CBF"/>
    <w:rsid w:val="0063448F"/>
    <w:rsid w:val="00635BBD"/>
    <w:rsid w:val="0064246D"/>
    <w:rsid w:val="00645150"/>
    <w:rsid w:val="00652D4E"/>
    <w:rsid w:val="006707E2"/>
    <w:rsid w:val="006718C2"/>
    <w:rsid w:val="006739A1"/>
    <w:rsid w:val="006846BF"/>
    <w:rsid w:val="00685821"/>
    <w:rsid w:val="00691BA1"/>
    <w:rsid w:val="006A3D4C"/>
    <w:rsid w:val="006A5009"/>
    <w:rsid w:val="006B4428"/>
    <w:rsid w:val="006B4AC0"/>
    <w:rsid w:val="006B7D87"/>
    <w:rsid w:val="006C14E6"/>
    <w:rsid w:val="006C171B"/>
    <w:rsid w:val="006C2637"/>
    <w:rsid w:val="006C2B23"/>
    <w:rsid w:val="006C321E"/>
    <w:rsid w:val="006C62A5"/>
    <w:rsid w:val="006C6965"/>
    <w:rsid w:val="006D4C78"/>
    <w:rsid w:val="006D7A6A"/>
    <w:rsid w:val="006E409F"/>
    <w:rsid w:val="006E5BFF"/>
    <w:rsid w:val="006F0340"/>
    <w:rsid w:val="006F04F5"/>
    <w:rsid w:val="006F1741"/>
    <w:rsid w:val="006F582B"/>
    <w:rsid w:val="00704AB4"/>
    <w:rsid w:val="00705310"/>
    <w:rsid w:val="007079B2"/>
    <w:rsid w:val="00707D3E"/>
    <w:rsid w:val="007109FA"/>
    <w:rsid w:val="0071112F"/>
    <w:rsid w:val="00711FB6"/>
    <w:rsid w:val="00712FB8"/>
    <w:rsid w:val="0071547D"/>
    <w:rsid w:val="00721494"/>
    <w:rsid w:val="00723850"/>
    <w:rsid w:val="00731126"/>
    <w:rsid w:val="007315D9"/>
    <w:rsid w:val="00732C51"/>
    <w:rsid w:val="00733644"/>
    <w:rsid w:val="00734828"/>
    <w:rsid w:val="00736DFB"/>
    <w:rsid w:val="00737527"/>
    <w:rsid w:val="00743F5E"/>
    <w:rsid w:val="00744709"/>
    <w:rsid w:val="00757205"/>
    <w:rsid w:val="00757985"/>
    <w:rsid w:val="007648F6"/>
    <w:rsid w:val="00766AD0"/>
    <w:rsid w:val="00767947"/>
    <w:rsid w:val="00771071"/>
    <w:rsid w:val="00771F98"/>
    <w:rsid w:val="00773364"/>
    <w:rsid w:val="00773BA8"/>
    <w:rsid w:val="00773BE4"/>
    <w:rsid w:val="00780BF7"/>
    <w:rsid w:val="007837E0"/>
    <w:rsid w:val="00786693"/>
    <w:rsid w:val="00792472"/>
    <w:rsid w:val="0079329C"/>
    <w:rsid w:val="0079564C"/>
    <w:rsid w:val="007A0931"/>
    <w:rsid w:val="007A0C79"/>
    <w:rsid w:val="007A31AC"/>
    <w:rsid w:val="007A57C1"/>
    <w:rsid w:val="007B0BBD"/>
    <w:rsid w:val="007B17AA"/>
    <w:rsid w:val="007B563E"/>
    <w:rsid w:val="007D0E61"/>
    <w:rsid w:val="007D5EAB"/>
    <w:rsid w:val="007E0FC6"/>
    <w:rsid w:val="007E2B68"/>
    <w:rsid w:val="007E467E"/>
    <w:rsid w:val="007E46DD"/>
    <w:rsid w:val="007E5A56"/>
    <w:rsid w:val="007E6A3F"/>
    <w:rsid w:val="007F010F"/>
    <w:rsid w:val="007F0913"/>
    <w:rsid w:val="007F3679"/>
    <w:rsid w:val="007F6E95"/>
    <w:rsid w:val="00813EF7"/>
    <w:rsid w:val="00814ABE"/>
    <w:rsid w:val="008158E9"/>
    <w:rsid w:val="008207D1"/>
    <w:rsid w:val="00822DC3"/>
    <w:rsid w:val="00830B93"/>
    <w:rsid w:val="00836C17"/>
    <w:rsid w:val="008400DA"/>
    <w:rsid w:val="008437DE"/>
    <w:rsid w:val="00847B2F"/>
    <w:rsid w:val="00857B17"/>
    <w:rsid w:val="008727C9"/>
    <w:rsid w:val="00873FA3"/>
    <w:rsid w:val="008748FD"/>
    <w:rsid w:val="00876F48"/>
    <w:rsid w:val="00884322"/>
    <w:rsid w:val="008853C8"/>
    <w:rsid w:val="00894284"/>
    <w:rsid w:val="00897CF4"/>
    <w:rsid w:val="008A19A2"/>
    <w:rsid w:val="008A41E5"/>
    <w:rsid w:val="008B2A42"/>
    <w:rsid w:val="008B3167"/>
    <w:rsid w:val="008C1309"/>
    <w:rsid w:val="008D1331"/>
    <w:rsid w:val="008D5CDB"/>
    <w:rsid w:val="008D5CF1"/>
    <w:rsid w:val="008D64C9"/>
    <w:rsid w:val="008E05EC"/>
    <w:rsid w:val="008E1DCA"/>
    <w:rsid w:val="008E26DA"/>
    <w:rsid w:val="008F321C"/>
    <w:rsid w:val="008F39AD"/>
    <w:rsid w:val="0090778A"/>
    <w:rsid w:val="00910D92"/>
    <w:rsid w:val="00912062"/>
    <w:rsid w:val="00913632"/>
    <w:rsid w:val="009159EB"/>
    <w:rsid w:val="00915AB2"/>
    <w:rsid w:val="00916929"/>
    <w:rsid w:val="00920014"/>
    <w:rsid w:val="00923E9E"/>
    <w:rsid w:val="00925BEA"/>
    <w:rsid w:val="00930FB3"/>
    <w:rsid w:val="00934D81"/>
    <w:rsid w:val="00936838"/>
    <w:rsid w:val="009374BF"/>
    <w:rsid w:val="009402FE"/>
    <w:rsid w:val="00942022"/>
    <w:rsid w:val="00945ED9"/>
    <w:rsid w:val="009463C0"/>
    <w:rsid w:val="00951B3E"/>
    <w:rsid w:val="009606D9"/>
    <w:rsid w:val="009725B6"/>
    <w:rsid w:val="0097355E"/>
    <w:rsid w:val="00973EB1"/>
    <w:rsid w:val="009763D2"/>
    <w:rsid w:val="00981281"/>
    <w:rsid w:val="009825EF"/>
    <w:rsid w:val="00984E8E"/>
    <w:rsid w:val="00985720"/>
    <w:rsid w:val="00986CDB"/>
    <w:rsid w:val="00992F2B"/>
    <w:rsid w:val="00995E45"/>
    <w:rsid w:val="0099652B"/>
    <w:rsid w:val="00997FFB"/>
    <w:rsid w:val="009A02DE"/>
    <w:rsid w:val="009A1108"/>
    <w:rsid w:val="009A201A"/>
    <w:rsid w:val="009A322F"/>
    <w:rsid w:val="009A3888"/>
    <w:rsid w:val="009A5114"/>
    <w:rsid w:val="009B03CE"/>
    <w:rsid w:val="009B1C81"/>
    <w:rsid w:val="009B4235"/>
    <w:rsid w:val="009B67B6"/>
    <w:rsid w:val="009B6EBB"/>
    <w:rsid w:val="009C11F9"/>
    <w:rsid w:val="009C1A3D"/>
    <w:rsid w:val="009C28E6"/>
    <w:rsid w:val="009C296A"/>
    <w:rsid w:val="009C65C8"/>
    <w:rsid w:val="009C6A84"/>
    <w:rsid w:val="009C7EBC"/>
    <w:rsid w:val="009C7FB6"/>
    <w:rsid w:val="009D3292"/>
    <w:rsid w:val="009D3737"/>
    <w:rsid w:val="009D77B7"/>
    <w:rsid w:val="009E043D"/>
    <w:rsid w:val="009E07B0"/>
    <w:rsid w:val="009E4C38"/>
    <w:rsid w:val="009E7A23"/>
    <w:rsid w:val="009E7BA7"/>
    <w:rsid w:val="009F2D55"/>
    <w:rsid w:val="00A04C2B"/>
    <w:rsid w:val="00A06416"/>
    <w:rsid w:val="00A165F6"/>
    <w:rsid w:val="00A31CA2"/>
    <w:rsid w:val="00A36459"/>
    <w:rsid w:val="00A36BA1"/>
    <w:rsid w:val="00A4262E"/>
    <w:rsid w:val="00A46839"/>
    <w:rsid w:val="00A526B3"/>
    <w:rsid w:val="00A54C52"/>
    <w:rsid w:val="00A5599B"/>
    <w:rsid w:val="00A62889"/>
    <w:rsid w:val="00A63AE0"/>
    <w:rsid w:val="00A65393"/>
    <w:rsid w:val="00A672C6"/>
    <w:rsid w:val="00A715DF"/>
    <w:rsid w:val="00A76487"/>
    <w:rsid w:val="00A83798"/>
    <w:rsid w:val="00A83FE4"/>
    <w:rsid w:val="00A86BF7"/>
    <w:rsid w:val="00A87CF6"/>
    <w:rsid w:val="00A906B1"/>
    <w:rsid w:val="00AA6753"/>
    <w:rsid w:val="00AA70DC"/>
    <w:rsid w:val="00AB0CC7"/>
    <w:rsid w:val="00AB2879"/>
    <w:rsid w:val="00AB2DE7"/>
    <w:rsid w:val="00AC2036"/>
    <w:rsid w:val="00AC314D"/>
    <w:rsid w:val="00AC34E8"/>
    <w:rsid w:val="00AD3355"/>
    <w:rsid w:val="00AD6F92"/>
    <w:rsid w:val="00AE0BDF"/>
    <w:rsid w:val="00AE23BD"/>
    <w:rsid w:val="00AE2788"/>
    <w:rsid w:val="00AE6D02"/>
    <w:rsid w:val="00AE7063"/>
    <w:rsid w:val="00AE7BDC"/>
    <w:rsid w:val="00AF1CF3"/>
    <w:rsid w:val="00AF2799"/>
    <w:rsid w:val="00AF2ACE"/>
    <w:rsid w:val="00AF3447"/>
    <w:rsid w:val="00AF3B51"/>
    <w:rsid w:val="00B0264B"/>
    <w:rsid w:val="00B02BE6"/>
    <w:rsid w:val="00B072C8"/>
    <w:rsid w:val="00B076D5"/>
    <w:rsid w:val="00B10113"/>
    <w:rsid w:val="00B11704"/>
    <w:rsid w:val="00B16261"/>
    <w:rsid w:val="00B325D6"/>
    <w:rsid w:val="00B32E6E"/>
    <w:rsid w:val="00B35F07"/>
    <w:rsid w:val="00B37FA6"/>
    <w:rsid w:val="00B4059C"/>
    <w:rsid w:val="00B446F0"/>
    <w:rsid w:val="00B51E41"/>
    <w:rsid w:val="00B554CA"/>
    <w:rsid w:val="00B572BF"/>
    <w:rsid w:val="00B5759D"/>
    <w:rsid w:val="00B67B66"/>
    <w:rsid w:val="00B75AB1"/>
    <w:rsid w:val="00B81DF9"/>
    <w:rsid w:val="00B86459"/>
    <w:rsid w:val="00B914B7"/>
    <w:rsid w:val="00B916C0"/>
    <w:rsid w:val="00B929F5"/>
    <w:rsid w:val="00B93602"/>
    <w:rsid w:val="00B95033"/>
    <w:rsid w:val="00B9619A"/>
    <w:rsid w:val="00B96703"/>
    <w:rsid w:val="00BA0F61"/>
    <w:rsid w:val="00BA1B54"/>
    <w:rsid w:val="00BA3E53"/>
    <w:rsid w:val="00BA521F"/>
    <w:rsid w:val="00BA73C6"/>
    <w:rsid w:val="00BB1986"/>
    <w:rsid w:val="00BB1D31"/>
    <w:rsid w:val="00BC2BA6"/>
    <w:rsid w:val="00BC7275"/>
    <w:rsid w:val="00BD1E49"/>
    <w:rsid w:val="00BD5E6F"/>
    <w:rsid w:val="00BE1A34"/>
    <w:rsid w:val="00BE5671"/>
    <w:rsid w:val="00BE7956"/>
    <w:rsid w:val="00BE7F16"/>
    <w:rsid w:val="00BF0520"/>
    <w:rsid w:val="00BF3A5F"/>
    <w:rsid w:val="00BF3B6C"/>
    <w:rsid w:val="00BF734B"/>
    <w:rsid w:val="00C05231"/>
    <w:rsid w:val="00C11F1D"/>
    <w:rsid w:val="00C168E6"/>
    <w:rsid w:val="00C16EB2"/>
    <w:rsid w:val="00C31D6C"/>
    <w:rsid w:val="00C36FBE"/>
    <w:rsid w:val="00C374FE"/>
    <w:rsid w:val="00C41F6C"/>
    <w:rsid w:val="00C435B8"/>
    <w:rsid w:val="00C43A8E"/>
    <w:rsid w:val="00C45E35"/>
    <w:rsid w:val="00C501C8"/>
    <w:rsid w:val="00C51435"/>
    <w:rsid w:val="00C53EC0"/>
    <w:rsid w:val="00C66329"/>
    <w:rsid w:val="00C72DEB"/>
    <w:rsid w:val="00C72E73"/>
    <w:rsid w:val="00C74467"/>
    <w:rsid w:val="00C8075D"/>
    <w:rsid w:val="00C83CC4"/>
    <w:rsid w:val="00C93DDE"/>
    <w:rsid w:val="00CA1A8D"/>
    <w:rsid w:val="00CA1D99"/>
    <w:rsid w:val="00CA3A17"/>
    <w:rsid w:val="00CA4989"/>
    <w:rsid w:val="00CC2455"/>
    <w:rsid w:val="00CC7898"/>
    <w:rsid w:val="00CD2376"/>
    <w:rsid w:val="00CD406E"/>
    <w:rsid w:val="00CD5F5B"/>
    <w:rsid w:val="00CD6DAD"/>
    <w:rsid w:val="00CD7F46"/>
    <w:rsid w:val="00CE1A15"/>
    <w:rsid w:val="00CE22ED"/>
    <w:rsid w:val="00CE45A9"/>
    <w:rsid w:val="00D00356"/>
    <w:rsid w:val="00D03B56"/>
    <w:rsid w:val="00D2111F"/>
    <w:rsid w:val="00D25774"/>
    <w:rsid w:val="00D371D7"/>
    <w:rsid w:val="00D43029"/>
    <w:rsid w:val="00D517C9"/>
    <w:rsid w:val="00D52B76"/>
    <w:rsid w:val="00D55F82"/>
    <w:rsid w:val="00D67A1B"/>
    <w:rsid w:val="00D70F99"/>
    <w:rsid w:val="00D72800"/>
    <w:rsid w:val="00D73124"/>
    <w:rsid w:val="00D734FF"/>
    <w:rsid w:val="00D737A8"/>
    <w:rsid w:val="00D75701"/>
    <w:rsid w:val="00D80356"/>
    <w:rsid w:val="00D81B95"/>
    <w:rsid w:val="00D833F4"/>
    <w:rsid w:val="00D83A13"/>
    <w:rsid w:val="00D86508"/>
    <w:rsid w:val="00D8666A"/>
    <w:rsid w:val="00D930E3"/>
    <w:rsid w:val="00D95892"/>
    <w:rsid w:val="00DA05C5"/>
    <w:rsid w:val="00DA156A"/>
    <w:rsid w:val="00DA17D9"/>
    <w:rsid w:val="00DA3C77"/>
    <w:rsid w:val="00DB0074"/>
    <w:rsid w:val="00DB05B5"/>
    <w:rsid w:val="00DB13F4"/>
    <w:rsid w:val="00DB382F"/>
    <w:rsid w:val="00DB440A"/>
    <w:rsid w:val="00DB6042"/>
    <w:rsid w:val="00DB7A01"/>
    <w:rsid w:val="00DC098B"/>
    <w:rsid w:val="00DC227C"/>
    <w:rsid w:val="00DD2743"/>
    <w:rsid w:val="00DD532F"/>
    <w:rsid w:val="00DD580B"/>
    <w:rsid w:val="00DD7C80"/>
    <w:rsid w:val="00DE23ED"/>
    <w:rsid w:val="00DE5BEC"/>
    <w:rsid w:val="00DE6313"/>
    <w:rsid w:val="00DE6347"/>
    <w:rsid w:val="00DE70C3"/>
    <w:rsid w:val="00DE73F3"/>
    <w:rsid w:val="00DE7CB2"/>
    <w:rsid w:val="00DE7D70"/>
    <w:rsid w:val="00DF220E"/>
    <w:rsid w:val="00DF2435"/>
    <w:rsid w:val="00DF3DD4"/>
    <w:rsid w:val="00DF4ACD"/>
    <w:rsid w:val="00E00CBA"/>
    <w:rsid w:val="00E04542"/>
    <w:rsid w:val="00E06897"/>
    <w:rsid w:val="00E129B3"/>
    <w:rsid w:val="00E21FF3"/>
    <w:rsid w:val="00E240A4"/>
    <w:rsid w:val="00E30A65"/>
    <w:rsid w:val="00E33BB4"/>
    <w:rsid w:val="00E35ABC"/>
    <w:rsid w:val="00E41D46"/>
    <w:rsid w:val="00E43D1F"/>
    <w:rsid w:val="00E45EBC"/>
    <w:rsid w:val="00E46006"/>
    <w:rsid w:val="00E600B0"/>
    <w:rsid w:val="00E63973"/>
    <w:rsid w:val="00E63978"/>
    <w:rsid w:val="00E643BE"/>
    <w:rsid w:val="00E6474D"/>
    <w:rsid w:val="00E64D4E"/>
    <w:rsid w:val="00E73F1D"/>
    <w:rsid w:val="00E74DD0"/>
    <w:rsid w:val="00E753B7"/>
    <w:rsid w:val="00E846B6"/>
    <w:rsid w:val="00E856A4"/>
    <w:rsid w:val="00E95D7B"/>
    <w:rsid w:val="00EA38AD"/>
    <w:rsid w:val="00EB4AB6"/>
    <w:rsid w:val="00EB731F"/>
    <w:rsid w:val="00EB737E"/>
    <w:rsid w:val="00EC2612"/>
    <w:rsid w:val="00EC3AB4"/>
    <w:rsid w:val="00EC5038"/>
    <w:rsid w:val="00EC6E64"/>
    <w:rsid w:val="00ED1377"/>
    <w:rsid w:val="00ED1965"/>
    <w:rsid w:val="00ED23E7"/>
    <w:rsid w:val="00EE4EEA"/>
    <w:rsid w:val="00EE696D"/>
    <w:rsid w:val="00EF2E90"/>
    <w:rsid w:val="00EF40EF"/>
    <w:rsid w:val="00F002AE"/>
    <w:rsid w:val="00F01421"/>
    <w:rsid w:val="00F02CD0"/>
    <w:rsid w:val="00F06C00"/>
    <w:rsid w:val="00F075CC"/>
    <w:rsid w:val="00F10D99"/>
    <w:rsid w:val="00F11BD0"/>
    <w:rsid w:val="00F12F49"/>
    <w:rsid w:val="00F14966"/>
    <w:rsid w:val="00F1596D"/>
    <w:rsid w:val="00F20B43"/>
    <w:rsid w:val="00F216EA"/>
    <w:rsid w:val="00F2785A"/>
    <w:rsid w:val="00F32120"/>
    <w:rsid w:val="00F32C7A"/>
    <w:rsid w:val="00F34951"/>
    <w:rsid w:val="00F37F17"/>
    <w:rsid w:val="00F4050E"/>
    <w:rsid w:val="00F413B9"/>
    <w:rsid w:val="00F41BD4"/>
    <w:rsid w:val="00F41C52"/>
    <w:rsid w:val="00F42756"/>
    <w:rsid w:val="00F44B4E"/>
    <w:rsid w:val="00F47364"/>
    <w:rsid w:val="00F5004A"/>
    <w:rsid w:val="00F544FA"/>
    <w:rsid w:val="00F54F62"/>
    <w:rsid w:val="00F57857"/>
    <w:rsid w:val="00F57DCA"/>
    <w:rsid w:val="00F6278A"/>
    <w:rsid w:val="00F64094"/>
    <w:rsid w:val="00F728BA"/>
    <w:rsid w:val="00F72B63"/>
    <w:rsid w:val="00F72D9B"/>
    <w:rsid w:val="00F74754"/>
    <w:rsid w:val="00F800F9"/>
    <w:rsid w:val="00F82665"/>
    <w:rsid w:val="00F830B6"/>
    <w:rsid w:val="00F86098"/>
    <w:rsid w:val="00F86B5F"/>
    <w:rsid w:val="00F8740E"/>
    <w:rsid w:val="00F93064"/>
    <w:rsid w:val="00FB152C"/>
    <w:rsid w:val="00FB16E2"/>
    <w:rsid w:val="00FC2EA9"/>
    <w:rsid w:val="00FD5021"/>
    <w:rsid w:val="00FD5764"/>
    <w:rsid w:val="00FD5785"/>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4734F4"/>
  <w15:chartTrackingRefBased/>
  <w15:docId w15:val="{5387026F-B14C-440C-97F3-6D69DA7E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header" w:uiPriority="99"/>
    <w:lsdException w:name="footer" w:uiPriority="99"/>
    <w:lsdException w:name="caption" w:semiHidden="1" w:unhideWhenUsed="1" w:qFormat="1"/>
    <w:lsdException w:name="List Number" w:uiPriority="99"/>
    <w:lsdException w:name="Title" w:qFormat="1"/>
    <w:lsdException w:name="Subtitle" w:qFormat="1"/>
    <w:lsdException w:name="Strong" w:uiPriority="22" w:qFormat="1"/>
    <w:lsdException w:name="Emphasis" w:uiPriority="99"/>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ind w:left="567" w:hanging="567"/>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semiHidden/>
    <w:rPr>
      <w:b/>
      <w:position w:val="6"/>
      <w:sz w:val="16"/>
    </w:rPr>
  </w:style>
  <w:style w:type="paragraph" w:styleId="FootnoteText">
    <w:name w:val="footnote text"/>
    <w:link w:val="FootnoteTextChar"/>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normal2">
    <w:name w:val="normal2"/>
    <w:basedOn w:val="Normal"/>
    <w:rsid w:val="00094E3E"/>
  </w:style>
  <w:style w:type="paragraph" w:customStyle="1" w:styleId="Part">
    <w:name w:val="Part"/>
    <w:basedOn w:val="Normal"/>
    <w:next w:val="Normal"/>
    <w:qFormat/>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link w:val="B0Char"/>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qFormat/>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rsid w:val="00A526B3"/>
    <w:rPr>
      <w:lang w:eastAsia="en-US"/>
    </w:rPr>
  </w:style>
  <w:style w:type="character" w:styleId="EndnoteReference">
    <w:name w:val="endnote reference"/>
    <w:rsid w:val="00A526B3"/>
    <w:rPr>
      <w:rFonts w:cs="Times New Roman"/>
      <w:vertAlign w:val="superscript"/>
    </w:rPr>
  </w:style>
  <w:style w:type="paragraph" w:styleId="Revision">
    <w:name w:val="Revision"/>
    <w:hidden/>
    <w:uiPriority w:val="66"/>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rsid w:val="00836C17"/>
    <w:rPr>
      <w:rFonts w:ascii="Tahoma" w:hAnsi="Tahoma" w:cs="Tahoma"/>
      <w:sz w:val="16"/>
      <w:szCs w:val="16"/>
    </w:rPr>
  </w:style>
  <w:style w:type="character" w:customStyle="1" w:styleId="BalloonTextChar">
    <w:name w:val="Balloon Text Char"/>
    <w:link w:val="BalloonText"/>
    <w:rsid w:val="00836C17"/>
    <w:rPr>
      <w:rFonts w:ascii="Tahoma" w:hAnsi="Tahoma" w:cs="Tahoma"/>
      <w:sz w:val="16"/>
      <w:szCs w:val="16"/>
      <w:lang w:eastAsia="en-US"/>
    </w:rPr>
  </w:style>
  <w:style w:type="character" w:styleId="FollowedHyperlink">
    <w:name w:val="FollowedHyperlink"/>
    <w:rsid w:val="008F321C"/>
    <w:rPr>
      <w:color w:val="800080"/>
      <w:u w:val="single"/>
    </w:rPr>
  </w:style>
  <w:style w:type="paragraph" w:styleId="CommentSubject">
    <w:name w:val="annotation subject"/>
    <w:basedOn w:val="CommentText"/>
    <w:next w:val="CommentText"/>
    <w:link w:val="CommentSubjectChar"/>
    <w:rsid w:val="00A62889"/>
    <w:rPr>
      <w:b/>
      <w:bCs/>
    </w:rPr>
  </w:style>
  <w:style w:type="character" w:customStyle="1" w:styleId="CommentSubjectChar">
    <w:name w:val="Comment Subject Char"/>
    <w:link w:val="CommentSubject"/>
    <w:rsid w:val="00A62889"/>
    <w:rPr>
      <w:rFonts w:ascii="Arial" w:hAnsi="Arial"/>
      <w:b/>
      <w:bCs/>
      <w:lang w:eastAsia="en-US"/>
    </w:rPr>
  </w:style>
  <w:style w:type="paragraph" w:customStyle="1" w:styleId="Tabletext">
    <w:name w:val="Table text"/>
    <w:basedOn w:val="Normal"/>
    <w:rsid w:val="00E46006"/>
    <w:pPr>
      <w:tabs>
        <w:tab w:val="clear" w:pos="1418"/>
        <w:tab w:val="clear" w:pos="4678"/>
        <w:tab w:val="clear" w:pos="5954"/>
        <w:tab w:val="clear" w:pos="7088"/>
      </w:tabs>
      <w:overflowPunct/>
      <w:autoSpaceDE/>
      <w:autoSpaceDN/>
      <w:adjustRightInd/>
      <w:spacing w:after="240"/>
      <w:textAlignment w:val="auto"/>
    </w:pPr>
    <w:rPr>
      <w:snapToGrid w:val="0"/>
    </w:rPr>
  </w:style>
  <w:style w:type="paragraph" w:customStyle="1" w:styleId="Revision1">
    <w:name w:val="Revision1"/>
    <w:hidden/>
    <w:uiPriority w:val="99"/>
    <w:semiHidden/>
    <w:rsid w:val="00E46006"/>
    <w:rPr>
      <w:snapToGrid w:val="0"/>
      <w:sz w:val="24"/>
      <w:lang w:eastAsia="en-US"/>
    </w:rPr>
  </w:style>
  <w:style w:type="paragraph" w:customStyle="1" w:styleId="BoldLeft">
    <w:name w:val="Bold Left"/>
    <w:basedOn w:val="Normal"/>
    <w:autoRedefine/>
    <w:qFormat/>
    <w:rsid w:val="00E46006"/>
    <w:pPr>
      <w:keepNext/>
      <w:keepLines/>
      <w:numPr>
        <w:numId w:val="20"/>
      </w:numPr>
      <w:spacing w:after="240"/>
      <w:jc w:val="left"/>
    </w:pPr>
    <w:rPr>
      <w:b/>
      <w:bCs/>
    </w:rPr>
  </w:style>
  <w:style w:type="paragraph" w:customStyle="1" w:styleId="B1Bold">
    <w:name w:val="B1 + Bold"/>
    <w:basedOn w:val="B1"/>
    <w:rsid w:val="00E46006"/>
    <w:pPr>
      <w:tabs>
        <w:tab w:val="clear" w:pos="567"/>
        <w:tab w:val="clear" w:pos="927"/>
        <w:tab w:val="num" w:pos="720"/>
        <w:tab w:val="left" w:pos="1418"/>
      </w:tabs>
      <w:ind w:left="714" w:hanging="357"/>
      <w:jc w:val="both"/>
    </w:pPr>
    <w:rPr>
      <w:bCs/>
    </w:rPr>
  </w:style>
  <w:style w:type="paragraph" w:customStyle="1" w:styleId="Default">
    <w:name w:val="Default"/>
    <w:rsid w:val="00E46006"/>
    <w:pPr>
      <w:autoSpaceDE w:val="0"/>
      <w:autoSpaceDN w:val="0"/>
      <w:adjustRightInd w:val="0"/>
    </w:pPr>
    <w:rPr>
      <w:color w:val="000000"/>
      <w:sz w:val="24"/>
      <w:szCs w:val="24"/>
      <w:lang w:val="en-US" w:eastAsia="en-US"/>
    </w:rPr>
  </w:style>
  <w:style w:type="paragraph" w:styleId="DocumentMap">
    <w:name w:val="Document Map"/>
    <w:basedOn w:val="Normal"/>
    <w:link w:val="DocumentMapChar"/>
    <w:rsid w:val="00E46006"/>
    <w:pPr>
      <w:tabs>
        <w:tab w:val="clear" w:pos="1418"/>
        <w:tab w:val="clear" w:pos="4678"/>
        <w:tab w:val="clear" w:pos="5954"/>
        <w:tab w:val="clear" w:pos="7088"/>
      </w:tabs>
      <w:overflowPunct/>
      <w:autoSpaceDE/>
      <w:autoSpaceDN/>
      <w:adjustRightInd/>
      <w:spacing w:after="240"/>
      <w:textAlignment w:val="auto"/>
    </w:pPr>
    <w:rPr>
      <w:rFonts w:ascii="Lucida Grande" w:hAnsi="Lucida Grande"/>
      <w:snapToGrid w:val="0"/>
      <w:sz w:val="24"/>
      <w:szCs w:val="24"/>
    </w:rPr>
  </w:style>
  <w:style w:type="character" w:customStyle="1" w:styleId="DocumentMapChar">
    <w:name w:val="Document Map Char"/>
    <w:basedOn w:val="DefaultParagraphFont"/>
    <w:link w:val="DocumentMap"/>
    <w:rsid w:val="00E46006"/>
    <w:rPr>
      <w:rFonts w:ascii="Lucida Grande" w:hAnsi="Lucida Grande"/>
      <w:snapToGrid w:val="0"/>
      <w:sz w:val="24"/>
      <w:szCs w:val="24"/>
      <w:lang w:eastAsia="en-US"/>
    </w:rPr>
  </w:style>
  <w:style w:type="paragraph" w:customStyle="1" w:styleId="TAL">
    <w:name w:val="TAL"/>
    <w:basedOn w:val="Normal"/>
    <w:rsid w:val="00E46006"/>
    <w:pPr>
      <w:keepNext/>
      <w:keepLines/>
      <w:tabs>
        <w:tab w:val="clear" w:pos="1418"/>
        <w:tab w:val="clear" w:pos="4678"/>
        <w:tab w:val="clear" w:pos="5954"/>
        <w:tab w:val="clear" w:pos="7088"/>
      </w:tabs>
      <w:jc w:val="left"/>
    </w:pPr>
    <w:rPr>
      <w:sz w:val="18"/>
    </w:rPr>
  </w:style>
  <w:style w:type="paragraph" w:customStyle="1" w:styleId="TAH">
    <w:name w:val="TAH"/>
    <w:basedOn w:val="TAC"/>
    <w:rsid w:val="00E46006"/>
    <w:rPr>
      <w:b/>
    </w:rPr>
  </w:style>
  <w:style w:type="paragraph" w:customStyle="1" w:styleId="TAC">
    <w:name w:val="TAC"/>
    <w:basedOn w:val="TAL"/>
    <w:rsid w:val="00E46006"/>
    <w:pPr>
      <w:jc w:val="center"/>
    </w:pPr>
  </w:style>
  <w:style w:type="paragraph" w:customStyle="1" w:styleId="B20">
    <w:name w:val="B2+"/>
    <w:basedOn w:val="B2"/>
    <w:rsid w:val="00E46006"/>
    <w:pPr>
      <w:keepNext w:val="0"/>
      <w:keepLines w:val="0"/>
      <w:numPr>
        <w:ilvl w:val="0"/>
        <w:numId w:val="21"/>
      </w:numPr>
      <w:tabs>
        <w:tab w:val="clear" w:pos="851"/>
      </w:tabs>
      <w:spacing w:after="180"/>
      <w:jc w:val="left"/>
    </w:pPr>
    <w:rPr>
      <w:rFonts w:ascii="Times New Roman" w:hAnsi="Times New Roman"/>
    </w:rPr>
  </w:style>
  <w:style w:type="paragraph" w:customStyle="1" w:styleId="TB1">
    <w:name w:val="TB1"/>
    <w:basedOn w:val="Normal"/>
    <w:qFormat/>
    <w:rsid w:val="00E46006"/>
    <w:pPr>
      <w:keepNext/>
      <w:keepLines/>
      <w:numPr>
        <w:numId w:val="22"/>
      </w:numPr>
      <w:tabs>
        <w:tab w:val="clear" w:pos="1418"/>
        <w:tab w:val="clear" w:pos="4678"/>
        <w:tab w:val="clear" w:pos="5954"/>
        <w:tab w:val="clear" w:pos="7088"/>
        <w:tab w:val="left" w:pos="683"/>
      </w:tabs>
      <w:jc w:val="left"/>
    </w:pPr>
    <w:rPr>
      <w:sz w:val="18"/>
    </w:rPr>
  </w:style>
  <w:style w:type="paragraph" w:customStyle="1" w:styleId="TH">
    <w:name w:val="TH"/>
    <w:basedOn w:val="Normal"/>
    <w:next w:val="Normal"/>
    <w:rsid w:val="00E46006"/>
    <w:pPr>
      <w:keepNext/>
      <w:keepLines/>
      <w:tabs>
        <w:tab w:val="clear" w:pos="1418"/>
        <w:tab w:val="clear" w:pos="4678"/>
        <w:tab w:val="clear" w:pos="5954"/>
        <w:tab w:val="clear" w:pos="7088"/>
      </w:tabs>
      <w:spacing w:before="60" w:after="180"/>
      <w:jc w:val="center"/>
    </w:pPr>
    <w:rPr>
      <w:b/>
    </w:rPr>
  </w:style>
  <w:style w:type="paragraph" w:styleId="List">
    <w:name w:val="List"/>
    <w:basedOn w:val="Normal"/>
    <w:rsid w:val="00E46006"/>
    <w:pPr>
      <w:tabs>
        <w:tab w:val="clear" w:pos="1418"/>
        <w:tab w:val="clear" w:pos="4678"/>
        <w:tab w:val="clear" w:pos="5954"/>
        <w:tab w:val="clear" w:pos="7088"/>
      </w:tabs>
      <w:overflowPunct/>
      <w:autoSpaceDE/>
      <w:autoSpaceDN/>
      <w:adjustRightInd/>
      <w:spacing w:after="240"/>
      <w:ind w:left="283" w:hanging="283"/>
      <w:contextualSpacing/>
      <w:textAlignment w:val="auto"/>
    </w:pPr>
    <w:rPr>
      <w:snapToGrid w:val="0"/>
    </w:rPr>
  </w:style>
  <w:style w:type="character" w:customStyle="1" w:styleId="B0Char">
    <w:name w:val="B0 Char"/>
    <w:link w:val="B0"/>
    <w:rsid w:val="00E46006"/>
    <w:rPr>
      <w:rFonts w:ascii="Arial" w:hAnsi="Arial"/>
      <w:lang w:eastAsia="en-US"/>
    </w:rPr>
  </w:style>
  <w:style w:type="character" w:customStyle="1" w:styleId="apple-converted-space">
    <w:name w:val="apple-converted-space"/>
    <w:rsid w:val="00E46006"/>
  </w:style>
  <w:style w:type="character" w:styleId="Strong">
    <w:name w:val="Strong"/>
    <w:basedOn w:val="DefaultParagraphFont"/>
    <w:uiPriority w:val="22"/>
    <w:qFormat/>
    <w:rsid w:val="00E46006"/>
    <w:rPr>
      <w:b/>
      <w:bCs/>
    </w:rPr>
  </w:style>
  <w:style w:type="table" w:customStyle="1" w:styleId="TableGridLight1">
    <w:name w:val="Table Grid Light1"/>
    <w:basedOn w:val="TableNormal"/>
    <w:uiPriority w:val="40"/>
    <w:rsid w:val="00E46006"/>
    <w:rPr>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F">
    <w:name w:val="TF"/>
    <w:basedOn w:val="Normal"/>
    <w:rsid w:val="00052A10"/>
    <w:pPr>
      <w:keepLines/>
      <w:tabs>
        <w:tab w:val="clear" w:pos="1418"/>
        <w:tab w:val="clear" w:pos="4678"/>
        <w:tab w:val="clear" w:pos="5954"/>
        <w:tab w:val="clear" w:pos="7088"/>
      </w:tabs>
      <w:spacing w:after="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280720774">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caro@ogcio.gov.h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ontact@aicto.org" TargetMode="Externa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mailto:malbrussels@kln.gov.my"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asean.org/" TargetMode="External"/><Relationship Id="rId20" Type="http://schemas.openxmlformats.org/officeDocument/2006/relationships/hyperlink" Target="http://www.aicto.org/arab-pki-foru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fo@comesa.int" TargetMode="External"/><Relationship Id="rId5" Type="http://schemas.openxmlformats.org/officeDocument/2006/relationships/customXml" Target="../customXml/item5.xml"/><Relationship Id="rId15" Type="http://schemas.openxmlformats.org/officeDocument/2006/relationships/hyperlink" Target="mailto:evachan@hkpkiforum.org.hk" TargetMode="External"/><Relationship Id="rId23" Type="http://schemas.openxmlformats.org/officeDocument/2006/relationships/hyperlink" Target="http://www.comesa.int/" TargetMode="External"/><Relationship Id="rId10" Type="http://schemas.openxmlformats.org/officeDocument/2006/relationships/footnotes" Target="footnotes.xml"/><Relationship Id="rId19" Type="http://schemas.openxmlformats.org/officeDocument/2006/relationships/hyperlink" Target="mailto:s.hamaguchi@cosmos-corp.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pkic.org/" TargetMode="External"/><Relationship Id="rId22" Type="http://schemas.openxmlformats.org/officeDocument/2006/relationships/hyperlink" Target="mailto:ali.alkhouri@emiratesid.ae"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1F9F6D913ED548A982E80B7C336038" ma:contentTypeVersion="0" ma:contentTypeDescription="Create a new document." ma:contentTypeScope="" ma:versionID="b1b0191018d928aaaffd8244bfed1e2d">
  <xsd:schema xmlns:xsd="http://www.w3.org/2001/XMLSchema" xmlns:xs="http://www.w3.org/2001/XMLSchema" xmlns:p="http://schemas.microsoft.com/office/2006/metadata/properties" targetNamespace="http://schemas.microsoft.com/office/2006/metadata/properties" ma:root="true" ma:fieldsID="814dd4843f5f6d1d1145f698b78ae0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7B2A3-923B-410B-A632-6886D9F0C52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BD2396D-1339-4E0B-9B0E-670843E19F21}">
  <ds:schemaRefs>
    <ds:schemaRef ds:uri="http://schemas.microsoft.com/sharepoint/v3/contenttype/forms"/>
  </ds:schemaRefs>
</ds:datastoreItem>
</file>

<file path=customXml/itemProps3.xml><?xml version="1.0" encoding="utf-8"?>
<ds:datastoreItem xmlns:ds="http://schemas.openxmlformats.org/officeDocument/2006/customXml" ds:itemID="{5116EDA2-4823-4281-A1D6-2B893FB1A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9405FCA-9116-49EF-ACE9-0C1DD4048177}">
  <ds:schemaRefs>
    <ds:schemaRef ds:uri="http://schemas.microsoft.com/office/2006/metadata/longProperties"/>
  </ds:schemaRefs>
</ds:datastoreItem>
</file>

<file path=customXml/itemProps5.xml><?xml version="1.0" encoding="utf-8"?>
<ds:datastoreItem xmlns:ds="http://schemas.openxmlformats.org/officeDocument/2006/customXml" ds:itemID="{2E6B6E76-ECF4-4A21-B1D5-AAA0F167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6987</Words>
  <Characters>39230</Characters>
  <Application>Microsoft Office Word</Application>
  <DocSecurity>0</DocSecurity>
  <Lines>326</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ToR_ETSI</vt:lpstr>
      <vt:lpstr>ToR_ETSI</vt:lpstr>
    </vt:vector>
  </TitlesOfParts>
  <Company>ETSI secretariat</Company>
  <LinksUpToDate>false</LinksUpToDate>
  <CharactersWithSpaces>46125</CharactersWithSpaces>
  <SharedDoc>false</SharedDoc>
  <HLinks>
    <vt:vector size="12" baseType="variant">
      <vt:variant>
        <vt:i4>4063301</vt:i4>
      </vt:variant>
      <vt:variant>
        <vt:i4>9</vt:i4>
      </vt:variant>
      <vt:variant>
        <vt:i4>0</vt:i4>
      </vt:variant>
      <vt:variant>
        <vt:i4>5</vt:i4>
      </vt:variant>
      <vt:variant>
        <vt:lpwstr>mailto:gavin.craik@etsi.org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Thierry Comont</cp:lastModifiedBy>
  <cp:revision>4</cp:revision>
  <cp:lastPrinted>2018-07-04T12:54:00Z</cp:lastPrinted>
  <dcterms:created xsi:type="dcterms:W3CDTF">2018-07-23T12:27:00Z</dcterms:created>
  <dcterms:modified xsi:type="dcterms:W3CDTF">2018-09-28T07:12:00Z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